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orizontalLine"/>
        <w:bidi w:val="0"/>
        <w:jc w:val="left"/>
        <w:rPr/>
      </w:pPr>
      <w:r>
        <w:rPr/>
      </w:r>
      <w:bookmarkStart w:id="0" w:name="ny20069308x2_defa14a.htm"/>
      <w:bookmarkStart w:id="1" w:name="ksny20069308x2_defa14a"/>
      <w:bookmarkStart w:id="2" w:name="ny20069308x2_defa14a.htm"/>
      <w:bookmarkStart w:id="3" w:name="ksny20069308x2_defa14a"/>
      <w:bookmarkEnd w:id="2"/>
      <w:bookmarkEnd w:id="3"/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UNITED STATES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8"/>
        </w:rPr>
      </w:pPr>
      <w:r>
        <w:rPr>
          <w:rFonts w:ascii="Times New Roman;Times;serif" w:hAnsi="Times New Roman;Times;serif"/>
          <w:b/>
          <w:color w:val="000000"/>
          <w:sz w:val="28"/>
        </w:rPr>
        <w:t>SECURITIES AND EXCHANGE COMMISSION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4"/>
        </w:rPr>
      </w:pPr>
      <w:r>
        <w:rPr>
          <w:rFonts w:ascii="Times New Roman;Times;serif" w:hAnsi="Times New Roman;Times;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36"/>
        </w:rPr>
      </w:pPr>
      <w:r>
        <w:rPr>
          <w:rFonts w:ascii="Times New Roman;Times;serif" w:hAnsi="Times New Roman;Times;serif"/>
          <w:b/>
          <w:color w:val="000000"/>
          <w:sz w:val="36"/>
        </w:rPr>
        <w:t>SCHEDULE 14A</w:t>
      </w:r>
    </w:p>
    <w:p>
      <w:pPr>
        <w:pStyle w:val="TextBody"/>
        <w:bidi w:val="0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TextBody"/>
        <w:bidi w:val="0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Proxy Statement Pursuant to Section 14(a) of the</w:t>
      </w:r>
    </w:p>
    <w:p>
      <w:pPr>
        <w:pStyle w:val="TextBody"/>
        <w:bidi w:val="0"/>
        <w:spacing w:before="0" w:after="0"/>
        <w:jc w:val="center"/>
        <w:rPr>
          <w:rFonts w:ascii="Times New Roman;Times;serif" w:hAnsi="Times New Roman;Times;serif"/>
          <w:b/>
          <w:color w:val="000000"/>
          <w:sz w:val="20"/>
        </w:rPr>
      </w:pPr>
      <w:r>
        <w:rPr>
          <w:rFonts w:ascii="Times New Roman;Times;serif" w:hAnsi="Times New Roman;Times;serif"/>
          <w:b/>
          <w:color w:val="000000"/>
          <w:sz w:val="20"/>
        </w:rPr>
        <w:t>Securities Exchange Act of 1934</w:t>
      </w:r>
    </w:p>
    <w:p>
      <w:pPr>
        <w:pStyle w:val="TextBody"/>
        <w:bidi w:val="0"/>
        <w:spacing w:before="0" w:after="0"/>
        <w:jc w:val="center"/>
        <w:rPr>
          <w:b/>
          <w:color w:val="000000"/>
        </w:rPr>
      </w:pPr>
      <w:r>
        <w:rPr>
          <w:b/>
          <w:color w:val="000000"/>
        </w:rPr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the Registrant ☒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Filed by a Party other than the Registrant  ☐</w:t>
      </w:r>
    </w:p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Check the appropriate box: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4" w:name="zf07d1a50d7f94971ae750221976ad033"/>
      <w:bookmarkStart w:id="5" w:name="zf07d1a50d7f94971ae750221976ad033"/>
      <w:bookmarkEnd w:id="5"/>
    </w:p>
    <w:tbl>
      <w:tblPr>
        <w:tblW w:w="7960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7685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Preliminary Proxy Statement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Proxy Statement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☒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Definitive Additional Materials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Soliciting Material Pursuant to Rule 14a-11(c) or Rule 14a-12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  <w:tc>
          <w:tcPr>
            <w:tcW w:w="76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9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  <w:tr>
        <w:trPr/>
        <w:tc>
          <w:tcPr>
            <w:tcW w:w="7960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rFonts w:ascii="Times New Roman;Times;serif" w:hAnsi="Times New Roman;Times;serif"/>
                <w:b/>
                <w:color w:val="000000"/>
                <w:sz w:val="48"/>
              </w:rPr>
            </w:pPr>
            <w:r>
              <w:rPr>
                <w:rFonts w:ascii="Times New Roman;Times;serif" w:hAnsi="Times New Roman;Times;serif"/>
                <w:b/>
                <w:color w:val="000000"/>
                <w:sz w:val="48"/>
              </w:rPr>
              <w:t>EVgo Inc.</w:t>
            </w:r>
          </w:p>
        </w:tc>
      </w:tr>
      <w:tr>
        <w:trPr/>
        <w:tc>
          <w:tcPr>
            <w:tcW w:w="79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(Name of Registrant as Specified in Its Charter)</w:t>
            </w:r>
          </w:p>
        </w:tc>
      </w:tr>
      <w:tr>
        <w:trPr/>
        <w:tc>
          <w:tcPr>
            <w:tcW w:w="79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79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 </w:t>
            </w:r>
          </w:p>
        </w:tc>
      </w:tr>
      <w:tr>
        <w:trPr/>
        <w:tc>
          <w:tcPr>
            <w:tcW w:w="7960" w:type="dxa"/>
            <w:gridSpan w:val="2"/>
            <w:tcBorders>
              <w:bottom w:val="single" w:sz="12" w:space="0" w:color="000000"/>
            </w:tcBorders>
            <w:tcMar>
              <w:bottom w:w="28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>
        <w:trPr/>
        <w:tc>
          <w:tcPr>
            <w:tcW w:w="79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796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 </w:t>
            </w:r>
          </w:p>
        </w:tc>
      </w:tr>
    </w:tbl>
    <w:p>
      <w:pPr>
        <w:pStyle w:val="TextBody"/>
        <w:bidi w:val="0"/>
        <w:spacing w:before="0" w:after="0"/>
        <w:jc w:val="left"/>
        <w:rPr>
          <w:rFonts w:ascii="Times New Roman;Times;serif" w:hAnsi="Times New Roman;Times;serif"/>
          <w:color w:val="000000"/>
          <w:sz w:val="20"/>
        </w:rPr>
      </w:pPr>
      <w:r>
        <w:rPr>
          <w:rFonts w:ascii="Times New Roman;Times;serif" w:hAnsi="Times New Roman;Times;serif"/>
          <w:color w:val="000000"/>
          <w:sz w:val="20"/>
        </w:rPr>
        <w:t>Payment of Filing Fee (Check the appropriate box):</w:t>
      </w:r>
    </w:p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6" w:name="zca6f32ea5eb9406f82a3338e10745ad9"/>
      <w:bookmarkStart w:id="7" w:name="zca6f32ea5eb9406f82a3338e10745ad9"/>
      <w:bookmarkEnd w:id="7"/>
    </w:p>
    <w:tbl>
      <w:tblPr>
        <w:tblW w:w="9985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"/>
        <w:gridCol w:w="9710"/>
      </w:tblGrid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No Fee Required.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paid with preliminary materials.</w:t>
            </w:r>
          </w:p>
        </w:tc>
      </w:tr>
      <w:tr>
        <w:trPr/>
        <w:tc>
          <w:tcPr>
            <w:tcW w:w="27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 ☐</w:t>
            </w:r>
          </w:p>
        </w:tc>
        <w:tc>
          <w:tcPr>
            <w:tcW w:w="9710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olor w:val="000000"/>
              </w:rPr>
            </w:pPr>
            <w:r>
              <w:rPr>
                <w:color w:val="000000"/>
              </w:rPr>
              <w:t>Fee computed on table in exhibit required by Item 25(b) per Exchange Act Rules 14a-6(i)(1) and 0-11.</w:t>
            </w:r>
          </w:p>
        </w:tc>
      </w:tr>
    </w:tbl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HorizontalLine"/>
        <w:bidi w:val="0"/>
        <w:jc w:val="left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200" w:after="20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>
          <w:color w:val="000000"/>
        </w:rPr>
      </w:pPr>
      <w:r>
        <w:rPr>
          <w:color w:val="000000"/>
        </w:rPr>
        <w:drawing>
          <wp:inline distT="0" distB="0" distL="0" distR="0">
            <wp:extent cx="7715250" cy="998220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998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HorizontalLine"/>
        <w:pBdr>
          <w:bottom w:val="single" w:sz="12" w:space="0" w:color="808080"/>
        </w:pBdr>
        <w:bidi w:val="0"/>
        <w:spacing w:before="0" w:after="283"/>
        <w:jc w:val="center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Times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134</Words>
  <Characters>713</Characters>
  <CharactersWithSpaces>834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