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2"/>
        </w:rPr>
        <w:t>QUARTERLY REPORT PURSUANT TO SECTION 13 OR 15(d) OF THE SECURITIES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4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2"/>
        </w:rPr>
        <w:t>TRANSITION REPORT PURSUANT TO SECTION 13 OR 15(d) OF THE SECURITIES</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EXCHANGE ACT OF 1934</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001-39572</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46"/>
        </w:rPr>
      </w:pPr>
      <w:r>
        <w:rPr>
          <w:rFonts w:ascii="Times New Roman;serif" w:hAnsi="Times New Roman;serif"/>
          <w:b/>
          <w:color w:val="000000"/>
          <w:sz w:val="46"/>
        </w:rPr>
        <w:t>EVgo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w:t>
      </w:r>
    </w:p>
    <w:tbl>
      <w:tblPr>
        <w:tblW w:w="6269" w:type="dxa"/>
        <w:jc w:val="left"/>
        <w:tblInd w:w="0" w:type="dxa"/>
        <w:tblLayout w:type="fixed"/>
        <w:tblCellMar>
          <w:top w:w="28" w:type="dxa"/>
          <w:left w:w="28" w:type="dxa"/>
          <w:bottom w:w="28" w:type="dxa"/>
          <w:right w:w="28" w:type="dxa"/>
        </w:tblCellMar>
      </w:tblPr>
      <w:tblGrid>
        <w:gridCol w:w="1354"/>
        <w:gridCol w:w="1190"/>
        <w:gridCol w:w="1206"/>
        <w:gridCol w:w="736"/>
        <w:gridCol w:w="736"/>
        <w:gridCol w:w="1047"/>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Delaware</w:t>
            </w:r>
          </w:p>
        </w:tc>
        <w:tc>
          <w:tcPr>
            <w:tcW w:w="25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85-2326098</w:t>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Number)</w:t>
            </w:r>
          </w:p>
        </w:tc>
      </w:tr>
    </w:tbl>
    <w:p>
      <w:pPr>
        <w:pStyle w:val="TextBody"/>
        <w:bidi w:val="0"/>
        <w:spacing w:lineRule="auto" w:line="288" w:before="0" w:after="0"/>
        <w:jc w:val="center"/>
        <w:rPr/>
      </w:pPr>
      <w:r>
        <w:rPr>
          <w:rFonts w:ascii="Times New Roman;serif" w:hAnsi="Times New Roman;serif"/>
          <w:b w:val="false"/>
          <w:color w:val="000000"/>
          <w:sz w:val="18"/>
        </w:rPr>
        <w:t>1661 East Franklin Avenue</w:t>
      </w:r>
      <w:r>
        <w:rPr>
          <w:rFonts w:ascii="Times New Roman;serif" w:hAnsi="Times New Roman;serif"/>
          <w:b w:val="false"/>
          <w:color w:val="000000"/>
          <w:sz w:val="24"/>
        </w:rPr>
        <w:t xml:space="preserve">, </w:t>
      </w:r>
      <w:r>
        <w:rPr>
          <w:rFonts w:ascii="Times New Roman;serif" w:hAnsi="Times New Roman;serif"/>
          <w:b w:val="false"/>
          <w:color w:val="000000"/>
          <w:sz w:val="18"/>
        </w:rPr>
        <w:t>El Segundo</w:t>
      </w:r>
      <w:r>
        <w:rPr>
          <w:rFonts w:ascii="Times New Roman;serif" w:hAnsi="Times New Roman;serif"/>
          <w:b w:val="false"/>
          <w:color w:val="000000"/>
          <w:sz w:val="24"/>
        </w:rPr>
        <w:t xml:space="preserve">, </w:t>
      </w:r>
      <w:r>
        <w:rPr>
          <w:rFonts w:ascii="Times New Roman;serif" w:hAnsi="Times New Roman;serif"/>
          <w:b w:val="false"/>
          <w:color w:val="000000"/>
          <w:sz w:val="18"/>
        </w:rPr>
        <w:t>CA</w:t>
      </w:r>
      <w:r>
        <w:rPr>
          <w:color w:val="000000"/>
        </w:rPr>
        <w:t xml:space="preserve"> </w:t>
      </w:r>
      <w:r>
        <w:rPr>
          <w:rFonts w:ascii="Times New Roman;serif" w:hAnsi="Times New Roman;serif"/>
          <w:b w:val="false"/>
          <w:color w:val="000000"/>
          <w:sz w:val="18"/>
        </w:rPr>
        <w:t>90245</w:t>
      </w:r>
    </w:p>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(877) 494-3833</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w:t>
      </w:r>
    </w:p>
    <w:p>
      <w:pPr>
        <w:pStyle w:val="TextBody"/>
        <w:bidi w:val="0"/>
        <w:spacing w:lineRule="auto" w:line="288" w:before="0" w:after="1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18"/>
        <w:gridCol w:w="2053"/>
        <w:gridCol w:w="2065"/>
        <w:gridCol w:w="399"/>
        <w:gridCol w:w="380"/>
        <w:gridCol w:w="382"/>
        <w:gridCol w:w="703"/>
        <w:gridCol w:w="703"/>
        <w:gridCol w:w="1002"/>
      </w:tblGrid>
      <w:tr>
        <w:trPr/>
        <w:tc>
          <w:tcPr>
            <w:tcW w:w="2518"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4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66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EVGO</w:t>
            </w:r>
          </w:p>
        </w:tc>
        <w:tc>
          <w:tcPr>
            <w:tcW w:w="24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66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warrants included as part of the units, each whole warrant exercisable for one share of Class A common stock at an exercise price of $11.50</w:t>
            </w:r>
          </w:p>
        </w:tc>
        <w:tc>
          <w:tcPr>
            <w:tcW w:w="1161"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16"/>
              </w:rPr>
              <w:t>EVGOW</w:t>
            </w:r>
            <w:r>
              <w:rPr>
                <w:rFonts w:ascii="Times New Roman;serif" w:hAnsi="Times New Roman;serif"/>
                <w:b w:val="false"/>
                <w:color w:val="000000"/>
                <w:sz w:val="10"/>
              </w:rPr>
              <w:t>(1)</w:t>
            </w:r>
          </w:p>
        </w:tc>
        <w:tc>
          <w:tcPr>
            <w:tcW w:w="24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lineRule="auto" w:line="276" w:before="0" w:after="0"/>
        <w:jc w:val="both"/>
        <w:rPr/>
      </w:pPr>
      <w:r>
        <w:rPr>
          <w:rFonts w:ascii="Times New Roman;serif" w:hAnsi="Times New Roman;serif"/>
          <w:b w:val="false"/>
          <w:color w:val="000000"/>
          <w:sz w:val="8"/>
        </w:rPr>
        <w:t>(1)</w:t>
      </w:r>
      <w:r>
        <w:rPr>
          <w:rFonts w:ascii="Times New Roman;serif" w:hAnsi="Times New Roman;serif"/>
          <w:b w:val="false"/>
          <w:color w:val="000000"/>
          <w:sz w:val="12"/>
        </w:rPr>
        <w:t>On July 1, 2026, Nasdaq Stock Market LLC filed a Form 25 with the Securities and Exchange Commission (the “SEC”) to delist EVgo Inc.’s redeemable warrants from trading and to remove such securities from registration under Section 12(b) of the Securities Exchange Act of 1934, as amended (the “Exchange Act”). The delisting became effective 10 days after the filing of the Form 25. In accordance with Rule 12d2-2 of the Exchange Act, the de-registration of EVgo Inc.’s redeemable warrants under Section 12(b) of the Exchange Act will become effective 90 days, or such shorter period as the SEC may determine, after the date of the Form 25 filing.</w:t>
      </w:r>
    </w:p>
    <w:p>
      <w:pPr>
        <w:pStyle w:val="TextBody"/>
        <w:bidi w:val="0"/>
        <w:spacing w:before="0" w:after="6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As of July 28, 2026, the Registrant had 141,715,720 shares of Class A common stock and 172,800,000 shares of Class B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9"/>
        <w:gridCol w:w="297"/>
        <w:gridCol w:w="280"/>
        <w:gridCol w:w="2957"/>
        <w:gridCol w:w="2929"/>
        <w:gridCol w:w="2889"/>
        <w:gridCol w:w="149"/>
        <w:gridCol w:w="149"/>
        <w:gridCol w:w="216"/>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0">
              <w:r>
                <w:rPr>
                  <w:rStyle w:val="InternetLink"/>
                  <w:rFonts w:ascii="Times New Roman;serif" w:hAnsi="Times New Roman;serif"/>
                  <w:b w:val="false"/>
                  <w:color w:val="000000"/>
                  <w:sz w:val="20"/>
                  <w:u w:val="single"/>
                </w:rPr>
                <w:t>Frequently Used Terms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0">
              <w:r>
                <w:rPr>
                  <w:rStyle w:val="InternetLink"/>
                  <w:rFonts w:ascii="Times New Roman;serif" w:hAnsi="Times New Roman;serif"/>
                  <w:b w:val="false"/>
                  <w:strike w:val="false"/>
                  <w:dstrike w:val="false"/>
                  <w:color w:val="000000"/>
                  <w:sz w:val="20"/>
                  <w:u w:val="none"/>
                  <w:effect w:val="none"/>
                </w:rPr>
                <w:t>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3">
              <w:r>
                <w:rPr>
                  <w:rStyle w:val="InternetLink"/>
                  <w:rFonts w:ascii="Times New Roman;serif" w:hAnsi="Times New Roman;serif"/>
                  <w:b w:val="false"/>
                  <w:color w:val="000000"/>
                  <w:sz w:val="20"/>
                  <w:u w:val="single"/>
                </w:rPr>
                <w:t>Cautionary Statement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3">
              <w:r>
                <w:rPr>
                  <w:rStyle w:val="InternetLink"/>
                  <w:rFonts w:ascii="Times New Roman;serif" w:hAnsi="Times New Roman;serif"/>
                  <w:b w:val="false"/>
                  <w:strike w:val="false"/>
                  <w:dstrike w:val="false"/>
                  <w:color w:val="000000"/>
                  <w:sz w:val="20"/>
                  <w:u w:val="none"/>
                  <w:effect w:val="none"/>
                </w:rPr>
                <w:t>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6">
              <w:r>
                <w:rPr>
                  <w:rStyle w:val="InternetLink"/>
                  <w:rFonts w:ascii="Times New Roman;serif" w:hAnsi="Times New Roman;serif"/>
                  <w:b w:val="false"/>
                  <w:color w:val="000000"/>
                  <w:sz w:val="20"/>
                  <w:u w:val="single"/>
                </w:rPr>
                <w:t>Use of Trademarks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6">
              <w:r>
                <w:rPr>
                  <w:rStyle w:val="InternetLink"/>
                  <w:rFonts w:ascii="Times New Roman;serif" w:hAnsi="Times New Roman;serif"/>
                  <w:b w:val="false"/>
                  <w:strike w:val="false"/>
                  <w:dstrike w:val="false"/>
                  <w:color w:val="000000"/>
                  <w:sz w:val="20"/>
                  <w:u w:val="none"/>
                  <w:effect w:val="none"/>
                </w:rPr>
                <w:t>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9">
              <w:r>
                <w:rPr>
                  <w:rStyle w:val="InternetLink"/>
                  <w:rFonts w:ascii="Times New Roman;serif" w:hAnsi="Times New Roman;serif"/>
                  <w:b w:val="false"/>
                  <w:color w:val="000000"/>
                  <w:sz w:val="20"/>
                  <w:u w:val="single"/>
                </w:rPr>
                <w:t>Available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9">
              <w:r>
                <w:rPr>
                  <w:rStyle w:val="InternetLink"/>
                  <w:rFonts w:ascii="Times New Roman;serif" w:hAnsi="Times New Roman;serif"/>
                  <w:b w:val="false"/>
                  <w:strike w:val="false"/>
                  <w:dstrike w:val="false"/>
                  <w:color w:val="000000"/>
                  <w:sz w:val="20"/>
                  <w:u w:val="none"/>
                  <w:effect w:val="none"/>
                </w:rPr>
                <w:t>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6" w:before="0" w:after="0"/>
              <w:jc w:val="center"/>
              <w:rPr/>
            </w:pPr>
            <w:hyperlink w:anchor="ic87f8a74faaa4d159c11dee4d6d573bf_22">
              <w:r>
                <w:rPr>
                  <w:rStyle w:val="InternetLink"/>
                  <w:rFonts w:ascii="Times New Roman;serif" w:hAnsi="Times New Roman;serif"/>
                  <w:b/>
                  <w:color w:val="000000"/>
                  <w:sz w:val="20"/>
                  <w:u w:val="single"/>
                </w:rPr>
                <w:t>PART I. FINANCIAL INFORMATION</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25">
              <w:r>
                <w:rPr>
                  <w:rStyle w:val="InternetLink"/>
                  <w:rFonts w:ascii="Times New Roman;serif" w:hAnsi="Times New Roman;serif"/>
                  <w:b w:val="false"/>
                  <w:color w:val="000000"/>
                  <w:sz w:val="20"/>
                  <w:u w:val="single"/>
                </w:rPr>
                <w:t>Item 1.</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25">
              <w:r>
                <w:rPr>
                  <w:rStyle w:val="InternetLink"/>
                  <w:rFonts w:ascii="Times New Roman;serif" w:hAnsi="Times New Roman;serif"/>
                  <w:b w:val="false"/>
                  <w:color w:val="000000"/>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25">
              <w:r>
                <w:rPr>
                  <w:rStyle w:val="InternetLink"/>
                  <w:rFonts w:ascii="Times New Roman;serif" w:hAnsi="Times New Roman;serif"/>
                  <w:b w:val="false"/>
                  <w:strike w:val="false"/>
                  <w:dstrike w:val="false"/>
                  <w:color w:val="000000"/>
                  <w:sz w:val="20"/>
                  <w:u w:val="none"/>
                  <w:effect w:val="none"/>
                </w:rPr>
                <w:t>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28">
              <w:r>
                <w:rPr>
                  <w:rStyle w:val="InternetLink"/>
                  <w:rFonts w:ascii="Times New Roman;serif" w:hAnsi="Times New Roman;serif"/>
                  <w:b w:val="false"/>
                  <w:color w:val="000080"/>
                  <w:sz w:val="20"/>
                  <w:u w:val="single"/>
                </w:rPr>
                <w:t xml:space="preserve">Condensed Consolidated Balance Sheets as of </w:t>
              </w:r>
            </w:hyperlink>
            <w:hyperlink w:anchor="ic87f8a74faaa4d159c11dee4d6d573bf_28">
              <w:r>
                <w:rPr>
                  <w:rStyle w:val="InternetLink"/>
                  <w:rFonts w:ascii="Times New Roman;serif" w:hAnsi="Times New Roman;serif"/>
                  <w:b w:val="false"/>
                  <w:color w:val="000080"/>
                  <w:sz w:val="20"/>
                  <w:u w:val="single"/>
                </w:rPr>
                <w:t>June</w:t>
              </w:r>
            </w:hyperlink>
            <w:hyperlink w:anchor="ic87f8a74faaa4d159c11dee4d6d573bf_28">
              <w:r>
                <w:rPr>
                  <w:rStyle w:val="InternetLink"/>
                  <w:rFonts w:ascii="Times New Roman;serif" w:hAnsi="Times New Roman;serif"/>
                  <w:b w:val="false"/>
                  <w:color w:val="000080"/>
                  <w:sz w:val="20"/>
                  <w:u w:val="single"/>
                </w:rPr>
                <w:t xml:space="preserve"> 3</w:t>
              </w:r>
            </w:hyperlink>
            <w:hyperlink w:anchor="ic87f8a74faaa4d159c11dee4d6d573bf_28">
              <w:r>
                <w:rPr>
                  <w:rStyle w:val="InternetLink"/>
                  <w:rFonts w:ascii="Times New Roman;serif" w:hAnsi="Times New Roman;serif"/>
                  <w:b w:val="false"/>
                  <w:color w:val="000080"/>
                  <w:sz w:val="20"/>
                  <w:u w:val="single"/>
                </w:rPr>
                <w:t>0</w:t>
              </w:r>
            </w:hyperlink>
            <w:hyperlink w:anchor="ic87f8a74faaa4d159c11dee4d6d573bf_28">
              <w:r>
                <w:rPr>
                  <w:rStyle w:val="InternetLink"/>
                  <w:rFonts w:ascii="Times New Roman;serif" w:hAnsi="Times New Roman;serif"/>
                  <w:b w:val="false"/>
                  <w:color w:val="000080"/>
                  <w:sz w:val="20"/>
                  <w:u w:val="single"/>
                </w:rPr>
                <w:t>, 2026 (unaudited)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28">
              <w:r>
                <w:rPr>
                  <w:rStyle w:val="InternetLink"/>
                  <w:rFonts w:ascii="Times New Roman;serif" w:hAnsi="Times New Roman;serif"/>
                  <w:b w:val="false"/>
                  <w:strike w:val="false"/>
                  <w:dstrike w:val="false"/>
                  <w:color w:val="000000"/>
                  <w:sz w:val="20"/>
                  <w:u w:val="none"/>
                  <w:effect w:val="none"/>
                </w:rPr>
                <w:t>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31">
              <w:r>
                <w:rPr>
                  <w:rStyle w:val="InternetLink"/>
                  <w:rFonts w:ascii="Times New Roman;serif" w:hAnsi="Times New Roman;serif"/>
                  <w:b w:val="false"/>
                  <w:color w:val="000000"/>
                  <w:sz w:val="20"/>
                  <w:u w:val="single"/>
                </w:rPr>
                <w:t>Condensed Consolidated Statements of Operations for the Three and Six Months Ended June 30, 2026 and 2025 (unaudited)</w:t>
              </w:r>
            </w:hyperlink>
            <w:hyperlink w:anchor="ic87f8a74faaa4d159c11dee4d6d573bf_31">
              <w:r>
                <w:rPr>
                  <w:rStyle w:val="InternetLink"/>
                  <w:strike w:val="false"/>
                  <w:dstrike w:val="false"/>
                  <w:color w:val="000000"/>
                  <w:u w:val="none"/>
                  <w:effect w:val="none"/>
                </w:rPr>
                <w:t xml:space="preserve">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31">
              <w:r>
                <w:rPr>
                  <w:rStyle w:val="InternetLink"/>
                  <w:rFonts w:ascii="Times New Roman;serif" w:hAnsi="Times New Roman;serif"/>
                  <w:b w:val="false"/>
                  <w:strike w:val="false"/>
                  <w:dstrike w:val="false"/>
                  <w:color w:val="000000"/>
                  <w:sz w:val="20"/>
                  <w:u w:val="none"/>
                  <w:effect w:val="none"/>
                </w:rPr>
                <w:t>11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587">
              <w:r>
                <w:rPr>
                  <w:rStyle w:val="InternetLink"/>
                  <w:rFonts w:ascii="Times New Roman;serif" w:hAnsi="Times New Roman;serif"/>
                  <w:b w:val="false"/>
                  <w:color w:val="000000"/>
                  <w:sz w:val="20"/>
                  <w:u w:val="single"/>
                </w:rPr>
                <w:t>Condensed Consolidated Statements of Comprehensive Loss for the Three and Six Months Ended June 30, 2026 and 2025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587">
              <w:r>
                <w:rPr>
                  <w:rStyle w:val="InternetLink"/>
                  <w:rFonts w:ascii="Times New Roman;serif" w:hAnsi="Times New Roman;serif"/>
                  <w:b w:val="false"/>
                  <w:strike w:val="false"/>
                  <w:dstrike w:val="false"/>
                  <w:color w:val="000000"/>
                  <w:sz w:val="20"/>
                  <w:u w:val="none"/>
                  <w:effect w:val="none"/>
                </w:rPr>
                <w:t>13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34">
              <w:r>
                <w:rPr>
                  <w:rStyle w:val="InternetLink"/>
                  <w:rFonts w:ascii="Times New Roman;serif" w:hAnsi="Times New Roman;serif"/>
                  <w:b w:val="false"/>
                  <w:color w:val="000080"/>
                  <w:sz w:val="20"/>
                  <w:u w:val="single"/>
                </w:rPr>
                <w:t xml:space="preserve">Condensed Consolidated Statements of Stockholders’ Equity (Deficit) for the </w:t>
              </w:r>
            </w:hyperlink>
            <w:hyperlink w:anchor="ic87f8a74faaa4d159c11dee4d6d573bf_34">
              <w:r>
                <w:rPr>
                  <w:rStyle w:val="InternetLink"/>
                  <w:rFonts w:ascii="Times New Roman;serif" w:hAnsi="Times New Roman;serif"/>
                  <w:b w:val="false"/>
                  <w:color w:val="000080"/>
                  <w:sz w:val="20"/>
                  <w:u w:val="single"/>
                </w:rPr>
                <w:t>Six</w:t>
              </w:r>
            </w:hyperlink>
            <w:hyperlink w:anchor="ic87f8a74faaa4d159c11dee4d6d573bf_34">
              <w:r>
                <w:rPr>
                  <w:rStyle w:val="InternetLink"/>
                  <w:rFonts w:ascii="Times New Roman;serif" w:hAnsi="Times New Roman;serif"/>
                  <w:b w:val="false"/>
                  <w:color w:val="000080"/>
                  <w:sz w:val="20"/>
                  <w:u w:val="single"/>
                </w:rPr>
                <w:t xml:space="preserve"> Months Ended </w:t>
              </w:r>
            </w:hyperlink>
            <w:hyperlink w:anchor="ic87f8a74faaa4d159c11dee4d6d573bf_34">
              <w:r>
                <w:rPr>
                  <w:rStyle w:val="InternetLink"/>
                  <w:rFonts w:ascii="Times New Roman;serif" w:hAnsi="Times New Roman;serif"/>
                  <w:b w:val="false"/>
                  <w:color w:val="000080"/>
                  <w:sz w:val="20"/>
                  <w:u w:val="single"/>
                </w:rPr>
                <w:t>June</w:t>
              </w:r>
            </w:hyperlink>
            <w:hyperlink w:anchor="ic87f8a74faaa4d159c11dee4d6d573bf_34">
              <w:r>
                <w:rPr>
                  <w:rStyle w:val="InternetLink"/>
                  <w:rFonts w:ascii="Times New Roman;serif" w:hAnsi="Times New Roman;serif"/>
                  <w:b w:val="false"/>
                  <w:color w:val="000080"/>
                  <w:sz w:val="20"/>
                  <w:u w:val="single"/>
                </w:rPr>
                <w:t xml:space="preserve"> 3</w:t>
              </w:r>
            </w:hyperlink>
            <w:hyperlink w:anchor="ic87f8a74faaa4d159c11dee4d6d573bf_34">
              <w:r>
                <w:rPr>
                  <w:rStyle w:val="InternetLink"/>
                  <w:rFonts w:ascii="Times New Roman;serif" w:hAnsi="Times New Roman;serif"/>
                  <w:b w:val="false"/>
                  <w:color w:val="000080"/>
                  <w:sz w:val="20"/>
                  <w:u w:val="single"/>
                </w:rPr>
                <w:t>0</w:t>
              </w:r>
            </w:hyperlink>
            <w:hyperlink w:anchor="ic87f8a74faaa4d159c11dee4d6d573bf_34">
              <w:r>
                <w:rPr>
                  <w:rStyle w:val="InternetLink"/>
                  <w:rFonts w:ascii="Times New Roman;serif" w:hAnsi="Times New Roman;serif"/>
                  <w:b w:val="false"/>
                  <w:color w:val="000080"/>
                  <w:sz w:val="20"/>
                  <w:u w:val="single"/>
                </w:rPr>
                <w:t xml:space="preserve">, 2026 and 2025 (unaudited)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34">
              <w:r>
                <w:rPr>
                  <w:rStyle w:val="InternetLink"/>
                  <w:rFonts w:ascii="Times New Roman;serif" w:hAnsi="Times New Roman;serif"/>
                  <w:b w:val="false"/>
                  <w:strike w:val="false"/>
                  <w:dstrike w:val="false"/>
                  <w:color w:val="000000"/>
                  <w:sz w:val="20"/>
                  <w:u w:val="none"/>
                  <w:effect w:val="none"/>
                </w:rPr>
                <w:t>13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37">
              <w:r>
                <w:rPr>
                  <w:rStyle w:val="InternetLink"/>
                  <w:rFonts w:ascii="Times New Roman;serif" w:hAnsi="Times New Roman;serif"/>
                  <w:b w:val="false"/>
                  <w:color w:val="000080"/>
                  <w:sz w:val="20"/>
                  <w:u w:val="single"/>
                </w:rPr>
                <w:t xml:space="preserve">Condensed Consolidated Statements of Cash Flows for the </w:t>
              </w:r>
            </w:hyperlink>
            <w:hyperlink w:anchor="ic87f8a74faaa4d159c11dee4d6d573bf_37">
              <w:r>
                <w:rPr>
                  <w:rStyle w:val="InternetLink"/>
                  <w:rFonts w:ascii="Times New Roman;serif" w:hAnsi="Times New Roman;serif"/>
                  <w:b w:val="false"/>
                  <w:color w:val="000080"/>
                  <w:sz w:val="20"/>
                  <w:u w:val="single"/>
                </w:rPr>
                <w:t>Six</w:t>
              </w:r>
            </w:hyperlink>
            <w:hyperlink w:anchor="ic87f8a74faaa4d159c11dee4d6d573bf_37">
              <w:r>
                <w:rPr>
                  <w:rStyle w:val="InternetLink"/>
                  <w:rFonts w:ascii="Times New Roman;serif" w:hAnsi="Times New Roman;serif"/>
                  <w:b w:val="false"/>
                  <w:color w:val="000080"/>
                  <w:sz w:val="20"/>
                  <w:u w:val="single"/>
                </w:rPr>
                <w:t xml:space="preserve"> Months Ended </w:t>
              </w:r>
            </w:hyperlink>
            <w:hyperlink w:anchor="ic87f8a74faaa4d159c11dee4d6d573bf_37">
              <w:r>
                <w:rPr>
                  <w:rStyle w:val="InternetLink"/>
                  <w:rFonts w:ascii="Times New Roman;serif" w:hAnsi="Times New Roman;serif"/>
                  <w:b w:val="false"/>
                  <w:color w:val="000080"/>
                  <w:sz w:val="20"/>
                  <w:u w:val="single"/>
                </w:rPr>
                <w:t>June</w:t>
              </w:r>
            </w:hyperlink>
            <w:hyperlink w:anchor="ic87f8a74faaa4d159c11dee4d6d573bf_37">
              <w:r>
                <w:rPr>
                  <w:rStyle w:val="InternetLink"/>
                  <w:rFonts w:ascii="Times New Roman;serif" w:hAnsi="Times New Roman;serif"/>
                  <w:b w:val="false"/>
                  <w:color w:val="000080"/>
                  <w:sz w:val="20"/>
                  <w:u w:val="single"/>
                </w:rPr>
                <w:t xml:space="preserve"> 3</w:t>
              </w:r>
            </w:hyperlink>
            <w:hyperlink w:anchor="ic87f8a74faaa4d159c11dee4d6d573bf_37">
              <w:r>
                <w:rPr>
                  <w:rStyle w:val="InternetLink"/>
                  <w:rFonts w:ascii="Times New Roman;serif" w:hAnsi="Times New Roman;serif"/>
                  <w:b w:val="false"/>
                  <w:color w:val="000080"/>
                  <w:sz w:val="20"/>
                  <w:u w:val="single"/>
                </w:rPr>
                <w:t>0</w:t>
              </w:r>
            </w:hyperlink>
            <w:hyperlink w:anchor="ic87f8a74faaa4d159c11dee4d6d573bf_37">
              <w:r>
                <w:rPr>
                  <w:rStyle w:val="InternetLink"/>
                  <w:rFonts w:ascii="Times New Roman;serif" w:hAnsi="Times New Roman;serif"/>
                  <w:b w:val="false"/>
                  <w:color w:val="000080"/>
                  <w:sz w:val="20"/>
                  <w:u w:val="single"/>
                </w:rPr>
                <w:t>, 2026 and 2025 (unaudited)</w:t>
              </w:r>
            </w:hyperlink>
            <w:hyperlink w:anchor="ic87f8a74faaa4d159c11dee4d6d573bf_37">
              <w:r>
                <w:rPr>
                  <w:rStyle w:val="InternetLink"/>
                  <w:strike w:val="false"/>
                  <w:dstrike w:val="false"/>
                  <w:color w:val="000000"/>
                  <w:u w:val="none"/>
                  <w:effect w:val="none"/>
                </w:rPr>
                <w:t xml:space="preserve">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37">
              <w:r>
                <w:rPr>
                  <w:rStyle w:val="InternetLink"/>
                  <w:rFonts w:ascii="Times New Roman;serif" w:hAnsi="Times New Roman;serif"/>
                  <w:b w:val="false"/>
                  <w:strike w:val="false"/>
                  <w:dstrike w:val="false"/>
                  <w:color w:val="000000"/>
                  <w:sz w:val="20"/>
                  <w:u w:val="none"/>
                  <w:effect w:val="none"/>
                </w:rPr>
                <w:t>15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40">
              <w:r>
                <w:rPr>
                  <w:rStyle w:val="InternetLink"/>
                  <w:rFonts w:ascii="Times New Roman;serif" w:hAnsi="Times New Roman;serif"/>
                  <w:b w:val="false"/>
                  <w:color w:val="000000"/>
                  <w:sz w:val="20"/>
                  <w:u w:val="singl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40">
              <w:r>
                <w:rPr>
                  <w:rStyle w:val="InternetLink"/>
                  <w:rFonts w:ascii="Times New Roman;serif" w:hAnsi="Times New Roman;serif"/>
                  <w:b w:val="false"/>
                  <w:strike w:val="false"/>
                  <w:dstrike w:val="false"/>
                  <w:color w:val="000000"/>
                  <w:sz w:val="20"/>
                  <w:u w:val="none"/>
                  <w:effect w:val="none"/>
                </w:rPr>
                <w:t>17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00">
              <w:r>
                <w:rPr>
                  <w:rStyle w:val="InternetLink"/>
                  <w:rFonts w:ascii="Times New Roman;serif" w:hAnsi="Times New Roman;serif"/>
                  <w:b w:val="false"/>
                  <w:color w:val="000000"/>
                  <w:sz w:val="20"/>
                  <w:u w:val="single"/>
                </w:rPr>
                <w:t>Item 2.</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00">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00">
              <w:r>
                <w:rPr>
                  <w:rStyle w:val="InternetLink"/>
                  <w:rFonts w:ascii="Times New Roman;serif" w:hAnsi="Times New Roman;serif"/>
                  <w:b w:val="false"/>
                  <w:strike w:val="false"/>
                  <w:dstrike w:val="false"/>
                  <w:color w:val="000000"/>
                  <w:sz w:val="20"/>
                  <w:u w:val="none"/>
                  <w:effect w:val="none"/>
                </w:rPr>
                <w:t>43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33">
              <w:r>
                <w:rPr>
                  <w:rStyle w:val="InternetLink"/>
                  <w:rFonts w:ascii="Times New Roman;serif" w:hAnsi="Times New Roman;serif"/>
                  <w:b w:val="false"/>
                  <w:color w:val="000000"/>
                  <w:sz w:val="20"/>
                  <w:u w:val="single"/>
                </w:rPr>
                <w:t>Item 3.</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33">
              <w:r>
                <w:rPr>
                  <w:rStyle w:val="InternetLink"/>
                  <w:rFonts w:ascii="Times New Roman;serif" w:hAnsi="Times New Roman;serif"/>
                  <w:b w:val="false"/>
                  <w:color w:val="000000"/>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33">
              <w:r>
                <w:rPr>
                  <w:rStyle w:val="InternetLink"/>
                  <w:rFonts w:ascii="Times New Roman;serif" w:hAnsi="Times New Roman;serif"/>
                  <w:b w:val="false"/>
                  <w:strike w:val="false"/>
                  <w:dstrike w:val="false"/>
                  <w:color w:val="000000"/>
                  <w:sz w:val="20"/>
                  <w:u w:val="none"/>
                  <w:effect w:val="none"/>
                </w:rPr>
                <w:t>60</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36">
              <w:r>
                <w:rPr>
                  <w:rStyle w:val="InternetLink"/>
                  <w:rFonts w:ascii="Times New Roman;serif" w:hAnsi="Times New Roman;serif"/>
                  <w:b w:val="false"/>
                  <w:color w:val="000000"/>
                  <w:sz w:val="20"/>
                  <w:u w:val="single"/>
                </w:rPr>
                <w:t>Item 4.</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36">
              <w:r>
                <w:rPr>
                  <w:rStyle w:val="InternetLink"/>
                  <w:rFonts w:ascii="Times New Roman;serif" w:hAnsi="Times New Roman;serif"/>
                  <w:b w:val="false"/>
                  <w:color w:val="000000"/>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36">
              <w:r>
                <w:rPr>
                  <w:rStyle w:val="InternetLink"/>
                  <w:rFonts w:ascii="Times New Roman;serif" w:hAnsi="Times New Roman;serif"/>
                  <w:b w:val="false"/>
                  <w:strike w:val="false"/>
                  <w:dstrike w:val="false"/>
                  <w:color w:val="000000"/>
                  <w:sz w:val="20"/>
                  <w:u w:val="none"/>
                  <w:effect w:val="none"/>
                </w:rPr>
                <w:t>60</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6" w:before="0" w:after="0"/>
              <w:jc w:val="center"/>
              <w:rPr/>
            </w:pPr>
            <w:hyperlink w:anchor="ic87f8a74faaa4d159c11dee4d6d573bf_139">
              <w:r>
                <w:rPr>
                  <w:rStyle w:val="InternetLink"/>
                  <w:rFonts w:ascii="Times New Roman;serif" w:hAnsi="Times New Roman;serif"/>
                  <w:b/>
                  <w:color w:val="000000"/>
                  <w:sz w:val="20"/>
                  <w:u w:val="single"/>
                </w:rPr>
                <w:t>PART II. OTHER INFORMATION</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42">
              <w:r>
                <w:rPr>
                  <w:rStyle w:val="InternetLink"/>
                  <w:rFonts w:ascii="Times New Roman;serif" w:hAnsi="Times New Roman;serif"/>
                  <w:b w:val="false"/>
                  <w:color w:val="000000"/>
                  <w:sz w:val="20"/>
                  <w:u w:val="single"/>
                </w:rPr>
                <w:t>Item 1.</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42">
              <w:r>
                <w:rPr>
                  <w:rStyle w:val="InternetLink"/>
                  <w:rFonts w:ascii="Times New Roman;serif" w:hAnsi="Times New Roman;serif"/>
                  <w:b w:val="false"/>
                  <w:color w:val="000000"/>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42">
              <w:r>
                <w:rPr>
                  <w:rStyle w:val="InternetLink"/>
                  <w:rFonts w:ascii="Times New Roman;serif" w:hAnsi="Times New Roman;serif"/>
                  <w:b w:val="false"/>
                  <w:strike w:val="false"/>
                  <w:dstrike w:val="false"/>
                  <w:color w:val="000000"/>
                  <w:sz w:val="20"/>
                  <w:u w:val="none"/>
                  <w:effect w:val="non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45">
              <w:r>
                <w:rPr>
                  <w:rStyle w:val="InternetLink"/>
                  <w:rFonts w:ascii="Times New Roman;serif" w:hAnsi="Times New Roman;serif"/>
                  <w:b w:val="false"/>
                  <w:color w:val="000000"/>
                  <w:sz w:val="20"/>
                  <w:u w:val="single"/>
                </w:rPr>
                <w:t>Item 1A.</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45">
              <w:r>
                <w:rPr>
                  <w:rStyle w:val="InternetLink"/>
                  <w:rFonts w:ascii="Times New Roman;serif" w:hAnsi="Times New Roman;serif"/>
                  <w:b w:val="false"/>
                  <w:color w:val="000000"/>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45">
              <w:r>
                <w:rPr>
                  <w:rStyle w:val="InternetLink"/>
                  <w:rFonts w:ascii="Times New Roman;serif" w:hAnsi="Times New Roman;serif"/>
                  <w:b w:val="false"/>
                  <w:strike w:val="false"/>
                  <w:dstrike w:val="false"/>
                  <w:color w:val="000000"/>
                  <w:sz w:val="20"/>
                  <w:u w:val="none"/>
                  <w:effect w:val="non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48">
              <w:r>
                <w:rPr>
                  <w:rStyle w:val="InternetLink"/>
                  <w:rFonts w:ascii="Times New Roman;serif" w:hAnsi="Times New Roman;serif"/>
                  <w:b w:val="false"/>
                  <w:color w:val="000000"/>
                  <w:sz w:val="20"/>
                  <w:u w:val="single"/>
                </w:rPr>
                <w:t>Item 2.</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48">
              <w:r>
                <w:rPr>
                  <w:rStyle w:val="InternetLink"/>
                  <w:rFonts w:ascii="Times New Roman;serif" w:hAnsi="Times New Roman;serif"/>
                  <w:b w:val="false"/>
                  <w:color w:val="000000"/>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48">
              <w:r>
                <w:rPr>
                  <w:rStyle w:val="InternetLink"/>
                  <w:rFonts w:ascii="Times New Roman;serif" w:hAnsi="Times New Roman;serif"/>
                  <w:b w:val="false"/>
                  <w:strike w:val="false"/>
                  <w:dstrike w:val="false"/>
                  <w:color w:val="000000"/>
                  <w:sz w:val="20"/>
                  <w:u w:val="none"/>
                  <w:effect w:val="non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51">
              <w:r>
                <w:rPr>
                  <w:rStyle w:val="InternetLink"/>
                  <w:rFonts w:ascii="Times New Roman;serif" w:hAnsi="Times New Roman;serif"/>
                  <w:b w:val="false"/>
                  <w:color w:val="000000"/>
                  <w:sz w:val="20"/>
                  <w:u w:val="single"/>
                </w:rPr>
                <w:t>Item 3.</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51">
              <w:r>
                <w:rPr>
                  <w:rStyle w:val="InternetLink"/>
                  <w:rFonts w:ascii="Times New Roman;serif" w:hAnsi="Times New Roman;serif"/>
                  <w:b w:val="false"/>
                  <w:color w:val="000000"/>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51">
              <w:r>
                <w:rPr>
                  <w:rStyle w:val="InternetLink"/>
                  <w:rFonts w:ascii="Times New Roman;serif" w:hAnsi="Times New Roman;serif"/>
                  <w:b w:val="false"/>
                  <w:strike w:val="false"/>
                  <w:dstrike w:val="false"/>
                  <w:color w:val="000000"/>
                  <w:sz w:val="20"/>
                  <w:u w:val="none"/>
                  <w:effect w:val="non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54">
              <w:r>
                <w:rPr>
                  <w:rStyle w:val="InternetLink"/>
                  <w:rFonts w:ascii="Times New Roman;serif" w:hAnsi="Times New Roman;serif"/>
                  <w:b w:val="false"/>
                  <w:color w:val="000000"/>
                  <w:sz w:val="20"/>
                  <w:u w:val="single"/>
                </w:rPr>
                <w:t>Item 4.</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54">
              <w:r>
                <w:rPr>
                  <w:rStyle w:val="InternetLink"/>
                  <w:rFonts w:ascii="Times New Roman;serif" w:hAnsi="Times New Roman;serif"/>
                  <w:b w:val="false"/>
                  <w:color w:val="000000"/>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54">
              <w:r>
                <w:rPr>
                  <w:rStyle w:val="InternetLink"/>
                  <w:rFonts w:ascii="Times New Roman;serif" w:hAnsi="Times New Roman;serif"/>
                  <w:b w:val="false"/>
                  <w:strike w:val="false"/>
                  <w:dstrike w:val="false"/>
                  <w:color w:val="000000"/>
                  <w:sz w:val="20"/>
                  <w:u w:val="none"/>
                  <w:effect w:val="non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57">
              <w:r>
                <w:rPr>
                  <w:rStyle w:val="InternetLink"/>
                  <w:rFonts w:ascii="Times New Roman;serif" w:hAnsi="Times New Roman;serif"/>
                  <w:b w:val="false"/>
                  <w:color w:val="000000"/>
                  <w:sz w:val="20"/>
                  <w:u w:val="single"/>
                </w:rPr>
                <w:t>Item 5.</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57">
              <w:r>
                <w:rPr>
                  <w:rStyle w:val="InternetLink"/>
                  <w:rFonts w:ascii="Times New Roman;serif" w:hAnsi="Times New Roman;serif"/>
                  <w:b w:val="false"/>
                  <w:color w:val="000000"/>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57">
              <w:r>
                <w:rPr>
                  <w:rStyle w:val="InternetLink"/>
                  <w:rFonts w:ascii="Times New Roman;serif" w:hAnsi="Times New Roman;serif"/>
                  <w:b w:val="false"/>
                  <w:strike w:val="false"/>
                  <w:dstrike w:val="false"/>
                  <w:color w:val="000000"/>
                  <w:sz w:val="20"/>
                  <w:u w:val="none"/>
                  <w:effect w:val="non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60">
              <w:r>
                <w:rPr>
                  <w:rStyle w:val="InternetLink"/>
                  <w:rFonts w:ascii="Times New Roman;serif" w:hAnsi="Times New Roman;serif"/>
                  <w:b w:val="false"/>
                  <w:color w:val="000000"/>
                  <w:sz w:val="20"/>
                  <w:u w:val="single"/>
                </w:rPr>
                <w:t>Item 6.</w:t>
              </w:r>
            </w:hyperlink>
          </w:p>
        </w:tc>
        <w:tc>
          <w:tcPr>
            <w:tcW w:w="877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87f8a74faaa4d159c11dee4d6d573bf_160">
              <w:r>
                <w:rPr>
                  <w:rStyle w:val="InternetLink"/>
                  <w:rFonts w:ascii="Times New Roman;serif" w:hAnsi="Times New Roman;serif"/>
                  <w:b w:val="false"/>
                  <w:color w:val="000000"/>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60">
              <w:r>
                <w:rPr>
                  <w:rStyle w:val="InternetLink"/>
                  <w:rFonts w:ascii="Times New Roman;serif" w:hAnsi="Times New Roman;serif"/>
                  <w:b w:val="false"/>
                  <w:strike w:val="false"/>
                  <w:dstrike w:val="false"/>
                  <w:color w:val="000000"/>
                  <w:sz w:val="20"/>
                  <w:u w:val="none"/>
                  <w:effect w:val="none"/>
                </w:rPr>
                <w:t>63</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0"/>
              <w:ind w:left="0" w:right="0" w:hanging="240"/>
              <w:jc w:val="left"/>
              <w:rPr/>
            </w:pPr>
            <w:hyperlink w:anchor="ic87f8a74faaa4d159c11dee4d6d573bf_163">
              <w:r>
                <w:rPr>
                  <w:rStyle w:val="InternetLink"/>
                  <w:rFonts w:ascii="Times New Roman;serif" w:hAnsi="Times New Roman;serif"/>
                  <w:b w:val="false"/>
                  <w:color w:val="000000"/>
                  <w:sz w:val="20"/>
                  <w:u w:val="single"/>
                </w:rPr>
                <w:t>Signatures</w:t>
              </w:r>
            </w:hyperlink>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7f8a74faaa4d159c11dee4d6d573bf_163">
              <w:r>
                <w:rPr>
                  <w:rStyle w:val="InternetLink"/>
                  <w:rFonts w:ascii="Times New Roman;serif" w:hAnsi="Times New Roman;serif"/>
                  <w:b w:val="false"/>
                  <w:strike w:val="false"/>
                  <w:dstrike w:val="false"/>
                  <w:color w:val="000000"/>
                  <w:sz w:val="20"/>
                  <w:u w:val="none"/>
                  <w:effect w:val="non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FREQUENTLY USED TERMS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indicates otherwise, the terms “EVgo,” “the Company,” “we,” “us,” and “our” in this Quarterly Report refer to EVgo Inc., a Delaware corporation, and where appropriate, its subsidiaries. We have also used several other terms in this Quarterly Report, the condensed consolidated financial statements and accompanying notes included herein, many of which are defined below and certain of which are defined throughout this Quarterly Report, and, unless expressly indicated or the context indicates otherwise, have the following meanings when used in this Quarterly Report: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30C income tax credits</w:t>
      </w:r>
      <w:r>
        <w:rPr>
          <w:color w:val="000000"/>
        </w:rPr>
        <w:t xml:space="preserve">” </w:t>
      </w:r>
      <w:r>
        <w:rPr>
          <w:rFonts w:ascii="Times New Roman;serif" w:hAnsi="Times New Roman;serif"/>
          <w:b w:val="false"/>
          <w:color w:val="000000"/>
          <w:sz w:val="20"/>
        </w:rPr>
        <w:t>means the alternative fuel refueling property credit under Section 30C of the Internal Revenue Code.</w:t>
      </w:r>
    </w:p>
    <w:p>
      <w:pPr>
        <w:pStyle w:val="TextBody"/>
        <w:bidi w:val="0"/>
        <w:spacing w:lineRule="auto" w:line="288" w:before="200" w:after="200"/>
        <w:jc w:val="both"/>
        <w:rPr/>
      </w:pPr>
      <w:r>
        <w:rPr>
          <w:rFonts w:ascii="Times New Roman;serif" w:hAnsi="Times New Roman;serif"/>
          <w:b w:val="false"/>
          <w:color w:val="000000"/>
          <w:sz w:val="20"/>
        </w:rPr>
        <w:t>"</w:t>
      </w:r>
      <w:r>
        <w:rPr>
          <w:rFonts w:ascii="Times New Roman;serif" w:hAnsi="Times New Roman;serif"/>
          <w:b w:val="false"/>
          <w:i/>
          <w:color w:val="000000"/>
          <w:sz w:val="20"/>
        </w:rPr>
        <w:t>Amendment"</w:t>
      </w:r>
      <w:r>
        <w:rPr>
          <w:color w:val="000000"/>
        </w:rPr>
        <w:t xml:space="preserve"> </w:t>
      </w:r>
      <w:r>
        <w:rPr>
          <w:rFonts w:ascii="Times New Roman;serif" w:hAnsi="Times New Roman;serif"/>
          <w:b w:val="false"/>
          <w:color w:val="000000"/>
          <w:sz w:val="20"/>
        </w:rPr>
        <w:t>means the First Omnibus Amendment Agreement entered into on April 29, 2026, by and among Swift Borrower, Services, DOE, and Citibank, N.A.</w:t>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Annual Report</w:t>
      </w:r>
      <w:r>
        <w:rPr>
          <w:color w:val="000000"/>
        </w:rPr>
        <w:t xml:space="preserve">” </w:t>
      </w:r>
      <w:r>
        <w:rPr>
          <w:rFonts w:ascii="Times New Roman;serif" w:hAnsi="Times New Roman;serif"/>
          <w:b w:val="false"/>
          <w:color w:val="000000"/>
          <w:sz w:val="20"/>
        </w:rPr>
        <w:t>means our Annual Report on Form 10-K for the year ended December 31, 2025.</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ASC</w:t>
      </w:r>
      <w:r>
        <w:rPr>
          <w:color w:val="000000"/>
        </w:rPr>
        <w:t xml:space="preserve">” </w:t>
      </w:r>
      <w:r>
        <w:rPr>
          <w:rFonts w:ascii="Times New Roman;serif" w:hAnsi="Times New Roman;serif"/>
          <w:b w:val="false"/>
          <w:color w:val="000000"/>
          <w:sz w:val="20"/>
        </w:rPr>
        <w:t>means Accounting Standards Codification.</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ASC 606</w:t>
      </w:r>
      <w:r>
        <w:rPr>
          <w:color w:val="000000"/>
        </w:rPr>
        <w:t xml:space="preserve">” </w:t>
      </w:r>
      <w:r>
        <w:rPr>
          <w:rFonts w:ascii="Times New Roman;serif" w:hAnsi="Times New Roman;serif"/>
          <w:b w:val="false"/>
          <w:color w:val="000000"/>
          <w:sz w:val="20"/>
        </w:rPr>
        <w:t xml:space="preserve">means FASB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ATM Program</w:t>
      </w:r>
      <w:r>
        <w:rPr>
          <w:color w:val="000000"/>
        </w:rPr>
        <w:t xml:space="preserve">” </w:t>
      </w:r>
      <w:r>
        <w:rPr>
          <w:rFonts w:ascii="Times New Roman;serif" w:hAnsi="Times New Roman;serif"/>
          <w:b w:val="false"/>
          <w:color w:val="000000"/>
          <w:sz w:val="20"/>
        </w:rPr>
        <w:t>means the program by which the Company was able to sell up to $200 million of shares of Class A common stock in “at the market” transactions at prevailing market prices.</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Availability Period</w:t>
      </w:r>
      <w:r>
        <w:rPr>
          <w:color w:val="000000"/>
        </w:rPr>
        <w:t xml:space="preserve">” </w:t>
      </w:r>
      <w:r>
        <w:rPr>
          <w:rFonts w:ascii="Times New Roman;serif" w:hAnsi="Times New Roman;serif"/>
          <w:b w:val="false"/>
          <w:color w:val="000000"/>
          <w:sz w:val="20"/>
        </w:rPr>
        <w:t>means, with respect to the DOE Loan, the period beginning on the date all conditions precedent set forth in the Guarantee Agreement are met or waived and ending on the earliest of (i) the fifth anniversary of the first Advance, (ii) August 31, 2031 and (iii) the date of any termination of obligations under the Guarantee Agreement following an event of default.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Borrowing</w:t>
      </w:r>
      <w:r>
        <w:rPr>
          <w:color w:val="000000"/>
        </w:rPr>
        <w:t xml:space="preserve">” </w:t>
      </w:r>
      <w:r>
        <w:rPr>
          <w:rFonts w:ascii="Times New Roman;serif" w:hAnsi="Times New Roman;serif"/>
          <w:b w:val="false"/>
          <w:color w:val="000000"/>
          <w:sz w:val="20"/>
        </w:rPr>
        <w:t>means a Loan borrowed under the Credit Agreement.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Business Combination Agreement</w:t>
      </w:r>
      <w:r>
        <w:rPr>
          <w:color w:val="000000"/>
        </w:rPr>
        <w:t xml:space="preserve">” </w:t>
      </w:r>
      <w:r>
        <w:rPr>
          <w:rFonts w:ascii="Times New Roman;serif" w:hAnsi="Times New Roman;serif"/>
          <w:b w:val="false"/>
          <w:color w:val="000000"/>
          <w:sz w:val="20"/>
        </w:rPr>
        <w:t>means the business combination agreement entered into on January 21, 2021 by and among CRIS, Thunder Sub, EVgo OpCo, EVgo Holdco and EVgo Holdings.</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Class A common stock</w:t>
      </w:r>
      <w:r>
        <w:rPr>
          <w:color w:val="000000"/>
        </w:rPr>
        <w:t xml:space="preserve">” </w:t>
      </w:r>
      <w:r>
        <w:rPr>
          <w:rFonts w:ascii="Times New Roman;serif" w:hAnsi="Times New Roman;serif"/>
          <w:b w:val="false"/>
          <w:color w:val="000000"/>
          <w:sz w:val="20"/>
        </w:rPr>
        <w:t>means Class A common stock of EVgo Inc., par value $0.0001 per share.</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Class B common stock</w:t>
      </w:r>
      <w:r>
        <w:rPr>
          <w:color w:val="000000"/>
        </w:rPr>
        <w:t xml:space="preserve">” </w:t>
      </w:r>
      <w:r>
        <w:rPr>
          <w:rFonts w:ascii="Times New Roman;serif" w:hAnsi="Times New Roman;serif"/>
          <w:b w:val="false"/>
          <w:color w:val="000000"/>
          <w:sz w:val="20"/>
        </w:rPr>
        <w:t>means Class B common stock of EVgo Inc., par value $0.0001 per share.</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common stock</w:t>
      </w:r>
      <w:r>
        <w:rPr>
          <w:color w:val="000000"/>
        </w:rPr>
        <w:t xml:space="preserve">” </w:t>
      </w:r>
      <w:r>
        <w:rPr>
          <w:rFonts w:ascii="Times New Roman;serif" w:hAnsi="Times New Roman;serif"/>
          <w:b w:val="false"/>
          <w:color w:val="000000"/>
          <w:sz w:val="20"/>
        </w:rPr>
        <w:t>means Class A common stock and Class B common stock.</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Company Group</w:t>
      </w:r>
      <w:r>
        <w:rPr>
          <w:color w:val="000000"/>
        </w:rPr>
        <w:t xml:space="preserve">” </w:t>
      </w:r>
      <w:r>
        <w:rPr>
          <w:rFonts w:ascii="Times New Roman;serif" w:hAnsi="Times New Roman;serif"/>
          <w:b w:val="false"/>
          <w:color w:val="000000"/>
          <w:sz w:val="20"/>
        </w:rPr>
        <w:t xml:space="preserve">means EVgo Inc., Thunder Sub or any of their subsidiaries (other than EVgo OpCo and its subsidiaries).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Credit Agreement</w:t>
      </w:r>
      <w:r>
        <w:rPr>
          <w:color w:val="000000"/>
        </w:rPr>
        <w:t xml:space="preserve">” </w:t>
      </w:r>
      <w:r>
        <w:rPr>
          <w:rFonts w:ascii="Times New Roman;serif" w:hAnsi="Times New Roman;serif"/>
          <w:b w:val="false"/>
          <w:color w:val="000000"/>
          <w:sz w:val="20"/>
        </w:rPr>
        <w:t xml:space="preserve">means the credit agreement (as it may be amended from time to time) by and among Voyager Borrower, SMBC, as administrative agent, and the Voyager Lenders and other parties thereto from time to time.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Commitments</w:t>
      </w:r>
      <w:r>
        <w:rPr>
          <w:color w:val="000000"/>
        </w:rPr>
        <w:t xml:space="preserve">” </w:t>
      </w:r>
      <w:r>
        <w:rPr>
          <w:rFonts w:ascii="Times New Roman;serif" w:hAnsi="Times New Roman;serif"/>
          <w:b w:val="false"/>
          <w:color w:val="000000"/>
          <w:sz w:val="20"/>
        </w:rPr>
        <w:t>means the $225 million committed term loan facility under the Credit Agreement.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CRIS</w:t>
      </w:r>
      <w:r>
        <w:rPr>
          <w:color w:val="000000"/>
        </w:rPr>
        <w:t xml:space="preserve">” </w:t>
      </w:r>
      <w:r>
        <w:rPr>
          <w:rFonts w:ascii="Times New Roman;serif" w:hAnsi="Times New Roman;serif"/>
          <w:b w:val="false"/>
          <w:color w:val="000000"/>
          <w:sz w:val="20"/>
        </w:rPr>
        <w:t xml:space="preserve">means Climate Change Crisis Real Impact I Acquisition Corporation.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CRIS Business Combination</w:t>
      </w:r>
      <w:r>
        <w:rPr>
          <w:color w:val="000000"/>
        </w:rPr>
        <w:t xml:space="preserve">” </w:t>
      </w:r>
      <w:r>
        <w:rPr>
          <w:rFonts w:ascii="Times New Roman;serif" w:hAnsi="Times New Roman;serif"/>
          <w:b w:val="false"/>
          <w:color w:val="000000"/>
          <w:sz w:val="20"/>
        </w:rPr>
        <w:t>means the transactions contemplated by the Business Combination Agreement.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CRIS Close Date</w:t>
      </w:r>
      <w:r>
        <w:rPr>
          <w:color w:val="000000"/>
        </w:rPr>
        <w:t xml:space="preserve">” </w:t>
      </w:r>
      <w:r>
        <w:rPr>
          <w:rFonts w:ascii="Times New Roman;serif" w:hAnsi="Times New Roman;serif"/>
          <w:b w:val="false"/>
          <w:color w:val="000000"/>
          <w:sz w:val="20"/>
        </w:rPr>
        <w:t>means the closing of the CRIS Business Combination on July 1, 2021.</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DC</w:t>
      </w:r>
      <w:r>
        <w:rPr>
          <w:color w:val="000000"/>
        </w:rPr>
        <w:t xml:space="preserve">” </w:t>
      </w:r>
      <w:r>
        <w:rPr>
          <w:rFonts w:ascii="Times New Roman;serif" w:hAnsi="Times New Roman;serif"/>
          <w:b w:val="false"/>
          <w:color w:val="000000"/>
          <w:sz w:val="20"/>
        </w:rPr>
        <w:t>means direct current.</w:t>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DCFC</w:t>
      </w:r>
      <w:r>
        <w:rPr>
          <w:color w:val="000000"/>
        </w:rPr>
        <w:t xml:space="preserve">” </w:t>
      </w:r>
      <w:r>
        <w:rPr>
          <w:rFonts w:ascii="Times New Roman;serif" w:hAnsi="Times New Roman;serif"/>
          <w:b w:val="false"/>
          <w:color w:val="000000"/>
          <w:sz w:val="20"/>
        </w:rPr>
        <w:t>means direct current fast charging.</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Delta</w:t>
      </w:r>
      <w:r>
        <w:rPr>
          <w:color w:val="000000"/>
        </w:rPr>
        <w:t xml:space="preserve">” </w:t>
      </w:r>
      <w:r>
        <w:rPr>
          <w:rFonts w:ascii="Times New Roman;serif" w:hAnsi="Times New Roman;serif"/>
          <w:b w:val="false"/>
          <w:color w:val="000000"/>
          <w:sz w:val="20"/>
        </w:rPr>
        <w:t>means Delta Electronics, Inc.</w:t>
      </w:r>
    </w:p>
    <w:p>
      <w:pPr>
        <w:pStyle w:val="TextBody"/>
        <w:bidi w:val="0"/>
        <w:spacing w:lineRule="auto" w:line="288" w:before="0" w:after="200"/>
        <w:jc w:val="both"/>
        <w:rPr/>
      </w:pPr>
      <w:r>
        <w:rPr>
          <w:color w:val="000000"/>
        </w:rPr>
        <w:t>“</w:t>
      </w:r>
      <w:r>
        <w:rPr>
          <w:rFonts w:ascii="Times New Roman;serif" w:hAnsi="Times New Roman;serif"/>
          <w:b w:val="false"/>
          <w:i/>
          <w:color w:val="000000"/>
          <w:sz w:val="20"/>
        </w:rPr>
        <w:t>Delta Charger Supply Agreement</w:t>
      </w:r>
      <w:r>
        <w:rPr>
          <w:color w:val="000000"/>
        </w:rPr>
        <w:t xml:space="preserve">” </w:t>
      </w:r>
      <w:r>
        <w:rPr>
          <w:rFonts w:ascii="Times New Roman;serif" w:hAnsi="Times New Roman;serif"/>
          <w:b w:val="false"/>
          <w:color w:val="000000"/>
          <w:sz w:val="20"/>
        </w:rPr>
        <w:t xml:space="preserve">means the General Terms and Conditions for Sale of EV Charger Products, dated as of July 12, 2022, by and between us and Delta.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DOE</w:t>
      </w:r>
      <w:r>
        <w:rPr>
          <w:color w:val="000000"/>
        </w:rPr>
        <w:t xml:space="preserve">” </w:t>
      </w:r>
      <w:r>
        <w:rPr>
          <w:rFonts w:ascii="Times New Roman;serif" w:hAnsi="Times New Roman;serif"/>
          <w:b w:val="false"/>
          <w:color w:val="000000"/>
          <w:sz w:val="20"/>
        </w:rPr>
        <w:t>means the U.S. Department of Energy.</w:t>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DOE Loan</w:t>
      </w:r>
      <w:r>
        <w:rPr>
          <w:color w:val="000000"/>
        </w:rPr>
        <w:t xml:space="preserve">” </w:t>
      </w:r>
      <w:r>
        <w:rPr>
          <w:rFonts w:ascii="Times New Roman;serif" w:hAnsi="Times New Roman;serif"/>
          <w:b w:val="false"/>
          <w:color w:val="000000"/>
          <w:sz w:val="20"/>
        </w:rPr>
        <w:t>means the loan guarantee issued by the DOE on behalf of Swift Borrower pursuant to the Guarantee Agreement, with respect to the term loan facility established between Swift Borrower and FFB.</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EGC</w:t>
      </w:r>
      <w:r>
        <w:rPr>
          <w:color w:val="000000"/>
        </w:rPr>
        <w:t xml:space="preserve">” </w:t>
      </w:r>
      <w:r>
        <w:rPr>
          <w:rFonts w:ascii="Times New Roman;serif" w:hAnsi="Times New Roman;serif"/>
          <w:b w:val="false"/>
          <w:color w:val="000000"/>
          <w:sz w:val="20"/>
        </w:rPr>
        <w:t xml:space="preserve">means emerging growth company.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w:t>
      </w:r>
      <w:r>
        <w:rPr>
          <w:color w:val="000000"/>
        </w:rPr>
        <w:t xml:space="preserve">” </w:t>
      </w:r>
      <w:r>
        <w:rPr>
          <w:rFonts w:ascii="Times New Roman;serif" w:hAnsi="Times New Roman;serif"/>
          <w:b w:val="false"/>
          <w:color w:val="000000"/>
          <w:sz w:val="20"/>
        </w:rPr>
        <w:t>means electric vehicle.</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w:t>
      </w:r>
      <w:r>
        <w:rPr>
          <w:color w:val="000000"/>
        </w:rPr>
        <w:t xml:space="preserve">” </w:t>
      </w:r>
      <w:r>
        <w:rPr>
          <w:rFonts w:ascii="Times New Roman;serif" w:hAnsi="Times New Roman;serif"/>
          <w:b w:val="false"/>
          <w:color w:val="000000"/>
          <w:sz w:val="20"/>
        </w:rPr>
        <w:t xml:space="preserve">means, prior to the CRIS Close Date, EVgo Holdings and its subsidiaries and, following the CRIS Close Date, EVgo Inc. and its subsidiaries.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 Holdco</w:t>
      </w:r>
      <w:r>
        <w:rPr>
          <w:color w:val="000000"/>
        </w:rPr>
        <w:t xml:space="preserve">” </w:t>
      </w:r>
      <w:r>
        <w:rPr>
          <w:rFonts w:ascii="Times New Roman;serif" w:hAnsi="Times New Roman;serif"/>
          <w:b w:val="false"/>
          <w:color w:val="000000"/>
          <w:sz w:val="20"/>
        </w:rPr>
        <w:t>means EVgo Holdco, LLC, a Delaware limited liability company.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 Holdings</w:t>
      </w:r>
      <w:r>
        <w:rPr>
          <w:color w:val="000000"/>
        </w:rPr>
        <w:t xml:space="preserve">” </w:t>
      </w:r>
      <w:r>
        <w:rPr>
          <w:rFonts w:ascii="Times New Roman;serif" w:hAnsi="Times New Roman;serif"/>
          <w:b w:val="false"/>
          <w:color w:val="000000"/>
          <w:sz w:val="20"/>
        </w:rPr>
        <w:t>means EVgo Holdings, LLC, a Delaware limited liability company.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 OpCo</w:t>
      </w:r>
      <w:r>
        <w:rPr>
          <w:color w:val="000000"/>
        </w:rPr>
        <w:t xml:space="preserve">” </w:t>
      </w:r>
      <w:r>
        <w:rPr>
          <w:rFonts w:ascii="Times New Roman;serif" w:hAnsi="Times New Roman;serif"/>
          <w:b w:val="false"/>
          <w:color w:val="000000"/>
          <w:sz w:val="20"/>
        </w:rPr>
        <w:t>means EVgo OpCo, LLC, a Delaware limited liability company.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 OpCo A&amp;R LLC Agreement</w:t>
      </w:r>
      <w:r>
        <w:rPr>
          <w:color w:val="000000"/>
        </w:rPr>
        <w:t xml:space="preserve">” </w:t>
      </w:r>
      <w:r>
        <w:rPr>
          <w:rFonts w:ascii="Times New Roman;serif" w:hAnsi="Times New Roman;serif"/>
          <w:b w:val="false"/>
          <w:color w:val="000000"/>
          <w:sz w:val="20"/>
        </w:rPr>
        <w:t>means the amended and restated limited liability company agreement of EVgo OpCo entered into on July 1, 2021.</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 OpCo Units</w:t>
      </w:r>
      <w:r>
        <w:rPr>
          <w:color w:val="000000"/>
        </w:rPr>
        <w:t xml:space="preserve">” </w:t>
      </w:r>
      <w:r>
        <w:rPr>
          <w:rFonts w:ascii="Times New Roman;serif" w:hAnsi="Times New Roman;serif"/>
          <w:b w:val="false"/>
          <w:color w:val="000000"/>
          <w:sz w:val="20"/>
        </w:rPr>
        <w:t>means the equity interests of EVgo OpCo.</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 Public Network</w:t>
      </w:r>
      <w:r>
        <w:rPr>
          <w:color w:val="000000"/>
        </w:rPr>
        <w:t xml:space="preserve">” </w:t>
      </w:r>
      <w:r>
        <w:rPr>
          <w:rFonts w:ascii="Times New Roman;serif" w:hAnsi="Times New Roman;serif"/>
          <w:b w:val="false"/>
          <w:color w:val="000000"/>
          <w:sz w:val="20"/>
        </w:rPr>
        <w:t>means the publicly available chargers and charging stations that we own and operate on our network.</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EVgo Services</w:t>
      </w:r>
      <w:r>
        <w:rPr>
          <w:color w:val="000000"/>
        </w:rPr>
        <w:t xml:space="preserve">” </w:t>
      </w:r>
      <w:r>
        <w:rPr>
          <w:rFonts w:ascii="Times New Roman;serif" w:hAnsi="Times New Roman;serif"/>
          <w:b w:val="false"/>
          <w:color w:val="000000"/>
          <w:sz w:val="20"/>
        </w:rPr>
        <w:t>means EVgo Services LLC, a Delaware limited liability company.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FFB</w:t>
      </w:r>
      <w:r>
        <w:rPr>
          <w:color w:val="000000"/>
        </w:rPr>
        <w:t xml:space="preserve">” </w:t>
      </w:r>
      <w:r>
        <w:rPr>
          <w:rFonts w:ascii="Times New Roman;serif" w:hAnsi="Times New Roman;serif"/>
          <w:b w:val="false"/>
          <w:color w:val="000000"/>
          <w:sz w:val="20"/>
        </w:rPr>
        <w:t xml:space="preserve">means the Federal Financing Bank.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GAAP</w:t>
      </w:r>
      <w:r>
        <w:rPr>
          <w:color w:val="000000"/>
        </w:rPr>
        <w:t xml:space="preserve">” </w:t>
      </w:r>
      <w:r>
        <w:rPr>
          <w:rFonts w:ascii="Times New Roman;serif" w:hAnsi="Times New Roman;serif"/>
          <w:b w:val="false"/>
          <w:color w:val="000000"/>
          <w:sz w:val="20"/>
        </w:rPr>
        <w:t>means accounting principles generally accepted in the U.S., consistently applied, as in effect from time to time.</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Guarantee Agreement</w:t>
      </w:r>
      <w:r>
        <w:rPr>
          <w:color w:val="000000"/>
        </w:rPr>
        <w:t xml:space="preserve">” </w:t>
      </w:r>
      <w:r>
        <w:rPr>
          <w:rFonts w:ascii="Times New Roman;serif" w:hAnsi="Times New Roman;serif"/>
          <w:b w:val="false"/>
          <w:color w:val="000000"/>
          <w:sz w:val="20"/>
        </w:rPr>
        <w:t xml:space="preserve">means the Loan Guarantee Agreement, dated as of December 12, 2024, by and between Swift Borrower and the DOE.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GWh</w:t>
      </w:r>
      <w:r>
        <w:rPr>
          <w:color w:val="000000"/>
        </w:rPr>
        <w:t xml:space="preserve">” </w:t>
      </w:r>
      <w:r>
        <w:rPr>
          <w:rFonts w:ascii="Times New Roman;serif" w:hAnsi="Times New Roman;serif"/>
          <w:b w:val="false"/>
          <w:color w:val="000000"/>
          <w:sz w:val="20"/>
        </w:rPr>
        <w:t>means gigawatt-hour, a unit of energy that represents one billion watt-hours and is equal to one million kilowatt-hours.</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IIJA</w:t>
      </w:r>
      <w:r>
        <w:rPr>
          <w:color w:val="000000"/>
        </w:rPr>
        <w:t xml:space="preserve">” </w:t>
      </w:r>
      <w:r>
        <w:rPr>
          <w:rFonts w:ascii="Times New Roman;serif" w:hAnsi="Times New Roman;serif"/>
          <w:b w:val="false"/>
          <w:color w:val="000000"/>
          <w:sz w:val="20"/>
        </w:rPr>
        <w:t>means the Infrastructure Investment and Jobs Act.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Incremental Facility</w:t>
      </w:r>
      <w:r>
        <w:rPr>
          <w:color w:val="000000"/>
        </w:rPr>
        <w:t xml:space="preserve">” </w:t>
      </w:r>
      <w:r>
        <w:rPr>
          <w:rFonts w:ascii="Times New Roman;serif" w:hAnsi="Times New Roman;serif"/>
          <w:b w:val="false"/>
          <w:color w:val="000000"/>
          <w:sz w:val="20"/>
        </w:rPr>
        <w:t>means a $75 million uncommitted incremental term loan facility under the Credit Agreement.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Initial Public Offering</w:t>
      </w:r>
      <w:r>
        <w:rPr>
          <w:color w:val="000000"/>
        </w:rPr>
        <w:t xml:space="preserve">” </w:t>
      </w:r>
      <w:r>
        <w:rPr>
          <w:rFonts w:ascii="Times New Roman;serif" w:hAnsi="Times New Roman;serif"/>
          <w:b w:val="false"/>
          <w:color w:val="000000"/>
          <w:sz w:val="20"/>
        </w:rPr>
        <w:t>means CRIS’s initial public offering of units consummated on October 2, 2020.</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IRA</w:t>
      </w:r>
      <w:r>
        <w:rPr>
          <w:color w:val="000000"/>
        </w:rPr>
        <w:t xml:space="preserve">” </w:t>
      </w:r>
      <w:r>
        <w:rPr>
          <w:rFonts w:ascii="Times New Roman;serif" w:hAnsi="Times New Roman;serif"/>
          <w:b w:val="false"/>
          <w:color w:val="000000"/>
          <w:sz w:val="20"/>
        </w:rPr>
        <w:t>means the Inflation Reduction Act of 2022.</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IT</w:t>
      </w:r>
      <w:r>
        <w:rPr>
          <w:color w:val="000000"/>
        </w:rPr>
        <w:t xml:space="preserve">” </w:t>
      </w:r>
      <w:r>
        <w:rPr>
          <w:rFonts w:ascii="Times New Roman;serif" w:hAnsi="Times New Roman;serif"/>
          <w:b w:val="false"/>
          <w:color w:val="000000"/>
          <w:sz w:val="20"/>
        </w:rPr>
        <w:t>means information technology.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kWh</w:t>
      </w:r>
      <w:r>
        <w:rPr>
          <w:color w:val="000000"/>
        </w:rPr>
        <w:t xml:space="preserve">” </w:t>
      </w:r>
      <w:r>
        <w:rPr>
          <w:rFonts w:ascii="Times New Roman;serif" w:hAnsi="Times New Roman;serif"/>
          <w:b w:val="false"/>
          <w:color w:val="000000"/>
          <w:sz w:val="20"/>
        </w:rPr>
        <w:t>means kilowatt-hour.</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LCFS</w:t>
      </w:r>
      <w:r>
        <w:rPr>
          <w:color w:val="000000"/>
        </w:rPr>
        <w:t xml:space="preserve">” </w:t>
      </w:r>
      <w:r>
        <w:rPr>
          <w:rFonts w:ascii="Times New Roman;serif" w:hAnsi="Times New Roman;serif"/>
          <w:b w:val="false"/>
          <w:color w:val="000000"/>
          <w:sz w:val="20"/>
        </w:rPr>
        <w:t>means Low Carbon Fuel Standard.</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Loan</w:t>
      </w:r>
      <w:r>
        <w:rPr>
          <w:color w:val="000000"/>
        </w:rPr>
        <w:t xml:space="preserve">” </w:t>
      </w:r>
      <w:r>
        <w:rPr>
          <w:rFonts w:ascii="Times New Roman;serif" w:hAnsi="Times New Roman;serif"/>
          <w:b w:val="false"/>
          <w:color w:val="000000"/>
          <w:sz w:val="20"/>
        </w:rPr>
        <w:t>means a loan under the Credit Agreement.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NACS</w:t>
      </w:r>
      <w:r>
        <w:rPr>
          <w:color w:val="000000"/>
        </w:rPr>
        <w:t xml:space="preserve">” </w:t>
      </w:r>
      <w:r>
        <w:rPr>
          <w:rFonts w:ascii="Times New Roman;serif" w:hAnsi="Times New Roman;serif"/>
          <w:b w:val="false"/>
          <w:color w:val="000000"/>
          <w:sz w:val="20"/>
        </w:rPr>
        <w:t>means North American Charging Standard.</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OBBBA</w:t>
      </w:r>
      <w:r>
        <w:rPr>
          <w:color w:val="000000"/>
        </w:rPr>
        <w:t xml:space="preserve">” </w:t>
      </w:r>
      <w:r>
        <w:rPr>
          <w:rFonts w:ascii="Times New Roman;serif" w:hAnsi="Times New Roman;serif"/>
          <w:b w:val="false"/>
          <w:color w:val="000000"/>
          <w:sz w:val="20"/>
        </w:rPr>
        <w:t>means H.R. 1 – 119</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20"/>
        </w:rPr>
        <w:t>Congress (2025 – 2026), which is also referred to as the One Big Beautiful Bill Act of 2025.</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OEM</w:t>
      </w:r>
      <w:r>
        <w:rPr>
          <w:color w:val="000000"/>
        </w:rPr>
        <w:t xml:space="preserve">” </w:t>
      </w:r>
      <w:r>
        <w:rPr>
          <w:rFonts w:ascii="Times New Roman;serif" w:hAnsi="Times New Roman;serif"/>
          <w:b w:val="false"/>
          <w:color w:val="000000"/>
          <w:sz w:val="20"/>
        </w:rPr>
        <w:t>means original equipment manufacturer.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Pilot Company</w:t>
      </w:r>
      <w:r>
        <w:rPr>
          <w:color w:val="000000"/>
        </w:rPr>
        <w:t xml:space="preserve">” </w:t>
      </w:r>
      <w:r>
        <w:rPr>
          <w:rFonts w:ascii="Times New Roman;serif" w:hAnsi="Times New Roman;serif"/>
          <w:b w:val="false"/>
          <w:color w:val="000000"/>
          <w:sz w:val="20"/>
        </w:rPr>
        <w:t>means Pilot Travel Centers LLC.</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Pilot Infrastructure Agreement</w:t>
      </w:r>
      <w:r>
        <w:rPr>
          <w:color w:val="000000"/>
        </w:rPr>
        <w:t xml:space="preserve">” </w:t>
      </w:r>
      <w:r>
        <w:rPr>
          <w:rFonts w:ascii="Times New Roman;serif" w:hAnsi="Times New Roman;serif"/>
          <w:b w:val="false"/>
          <w:color w:val="000000"/>
          <w:sz w:val="20"/>
        </w:rPr>
        <w:t xml:space="preserve">means the Charging Infrastructure Agreement, dated as of July 5, 2022, by and among us, the Pilot Company and GM, as amended from time to time.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PlugShare</w:t>
      </w:r>
      <w:r>
        <w:rPr>
          <w:color w:val="000000"/>
        </w:rPr>
        <w:t xml:space="preserve">” </w:t>
      </w:r>
      <w:r>
        <w:rPr>
          <w:rFonts w:ascii="Times New Roman;serif" w:hAnsi="Times New Roman;serif"/>
          <w:b w:val="false"/>
          <w:color w:val="000000"/>
          <w:sz w:val="20"/>
        </w:rPr>
        <w:t>means PlugShare LLC, a California limited liability company.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Private Placement Warrants</w:t>
      </w:r>
      <w:r>
        <w:rPr>
          <w:color w:val="000000"/>
        </w:rPr>
        <w:t xml:space="preserve">” </w:t>
      </w:r>
      <w:r>
        <w:rPr>
          <w:rFonts w:ascii="Times New Roman;serif" w:hAnsi="Times New Roman;serif"/>
          <w:b w:val="false"/>
          <w:color w:val="000000"/>
          <w:sz w:val="20"/>
        </w:rPr>
        <w:t>means the 6,600,000 warrants purchased by the Sponsor in a private placement simultaneously with the closing of the Initial Public Offering, each of which is exercisable for one share of Class A common stock at $11.50 per share, at a price of $1.00 per warrant, generating gross proceeds of $6,600,000.</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Public Warrants</w:t>
      </w:r>
      <w:r>
        <w:rPr>
          <w:color w:val="000000"/>
        </w:rPr>
        <w:t xml:space="preserve">” </w:t>
      </w:r>
      <w:r>
        <w:rPr>
          <w:rFonts w:ascii="Times New Roman;serif" w:hAnsi="Times New Roman;serif"/>
          <w:b w:val="false"/>
          <w:color w:val="000000"/>
          <w:sz w:val="20"/>
        </w:rPr>
        <w:t>means the 11,499,988 redeemable warrants sold as part of the units in the Initial Public Offering.</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Purchase Order</w:t>
      </w:r>
      <w:r>
        <w:rPr>
          <w:color w:val="000000"/>
        </w:rPr>
        <w:t xml:space="preserve">” </w:t>
      </w:r>
      <w:r>
        <w:rPr>
          <w:rFonts w:ascii="Times New Roman;serif" w:hAnsi="Times New Roman;serif"/>
          <w:b w:val="false"/>
          <w:color w:val="000000"/>
          <w:sz w:val="20"/>
        </w:rPr>
        <w:t>means the initial purchase order entered into pursuant to the Delta Charger Supply Agreement.</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Quarterly Report</w:t>
      </w:r>
      <w:r>
        <w:rPr>
          <w:color w:val="000000"/>
        </w:rPr>
        <w:t xml:space="preserve">” </w:t>
      </w:r>
      <w:r>
        <w:rPr>
          <w:rFonts w:ascii="Times New Roman;serif" w:hAnsi="Times New Roman;serif"/>
          <w:b w:val="false"/>
          <w:color w:val="000000"/>
          <w:sz w:val="20"/>
        </w:rPr>
        <w:t>means this Quarterly Report on Form 10-Q for the period ended June 30, 2026.</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SEC</w:t>
      </w:r>
      <w:r>
        <w:rPr>
          <w:color w:val="000000"/>
        </w:rPr>
        <w:t xml:space="preserve">” </w:t>
      </w:r>
      <w:r>
        <w:rPr>
          <w:rFonts w:ascii="Times New Roman;serif" w:hAnsi="Times New Roman;serif"/>
          <w:b w:val="false"/>
          <w:color w:val="000000"/>
          <w:sz w:val="20"/>
        </w:rPr>
        <w:t>means the U.S. Securities and Exchange Commission.</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Secondary Offering</w:t>
      </w:r>
      <w:r>
        <w:rPr>
          <w:color w:val="000000"/>
        </w:rPr>
        <w:t xml:space="preserve">” </w:t>
      </w:r>
      <w:r>
        <w:rPr>
          <w:rFonts w:ascii="Times New Roman;serif" w:hAnsi="Times New Roman;serif"/>
          <w:b w:val="false"/>
          <w:color w:val="000000"/>
          <w:sz w:val="20"/>
        </w:rPr>
        <w:t xml:space="preserve">means the underwritten public offering of 23,000,000 shares of Class A common stock undertaken pursuant to the underwriting agreement entered into as of December 16, 2024, by and among EVgo, EVgo Holdings, J.P. Morgan Securities LLC, Goldman Sachs &amp; Co. LLC, Morgan Stanley &amp; Co. LLC and Evercore Group L.L.C., as representatives of several underwriters, which closed on December 18, 2024.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Site Hosts</w:t>
      </w:r>
      <w:r>
        <w:rPr>
          <w:color w:val="000000"/>
        </w:rPr>
        <w:t xml:space="preserve">” </w:t>
      </w:r>
      <w:r>
        <w:rPr>
          <w:rFonts w:ascii="Times New Roman;serif" w:hAnsi="Times New Roman;serif"/>
          <w:b w:val="false"/>
          <w:color w:val="000000"/>
          <w:sz w:val="20"/>
        </w:rPr>
        <w:t>means, collectively, commercial or public-entity property owners, landlords and/or tenants.</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SMBC</w:t>
      </w:r>
      <w:r>
        <w:rPr>
          <w:color w:val="000000"/>
        </w:rPr>
        <w:t xml:space="preserve">” </w:t>
      </w:r>
      <w:r>
        <w:rPr>
          <w:rFonts w:ascii="Times New Roman;serif" w:hAnsi="Times New Roman;serif"/>
          <w:b w:val="false"/>
          <w:color w:val="000000"/>
          <w:sz w:val="20"/>
        </w:rPr>
        <w:t>means Sumitomo Mitsui Banking Corporation.</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SOFR</w:t>
      </w:r>
      <w:r>
        <w:rPr>
          <w:color w:val="000000"/>
        </w:rPr>
        <w:t xml:space="preserve">” </w:t>
      </w:r>
      <w:r>
        <w:rPr>
          <w:rFonts w:ascii="Times New Roman;serif" w:hAnsi="Times New Roman;serif"/>
          <w:b w:val="false"/>
          <w:color w:val="000000"/>
          <w:sz w:val="20"/>
        </w:rPr>
        <w:t>means the Secured Overnight Financing Rate.</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Sponsor</w:t>
      </w:r>
      <w:r>
        <w:rPr>
          <w:color w:val="000000"/>
        </w:rPr>
        <w:t xml:space="preserve">” </w:t>
      </w:r>
      <w:r>
        <w:rPr>
          <w:rFonts w:ascii="Times New Roman;serif" w:hAnsi="Times New Roman;serif"/>
          <w:b w:val="false"/>
          <w:color w:val="000000"/>
          <w:sz w:val="20"/>
        </w:rPr>
        <w:t>means CRIS’s sponsor, Climate Change Crisis Real Impact I Acquisition Holdings, LLC, a Delaware limited liability company.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SSP</w:t>
      </w:r>
      <w:r>
        <w:rPr>
          <w:color w:val="000000"/>
        </w:rPr>
        <w:t xml:space="preserve">” </w:t>
      </w:r>
      <w:r>
        <w:rPr>
          <w:rFonts w:ascii="Times New Roman;serif" w:hAnsi="Times New Roman;serif"/>
          <w:b w:val="false"/>
          <w:color w:val="000000"/>
          <w:sz w:val="20"/>
        </w:rPr>
        <w:t>means stand-alone selling prices.</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Swift Borrower</w:t>
      </w:r>
      <w:r>
        <w:rPr>
          <w:color w:val="000000"/>
        </w:rPr>
        <w:t xml:space="preserve">” </w:t>
      </w:r>
      <w:r>
        <w:rPr>
          <w:rFonts w:ascii="Times New Roman;serif" w:hAnsi="Times New Roman;serif"/>
          <w:b w:val="false"/>
          <w:color w:val="000000"/>
          <w:sz w:val="20"/>
        </w:rPr>
        <w:t>means EVgo Swift Borrower LLC, a Delaware limited liability company and subsidiary of the Company.</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Tax Receivable Agreement</w:t>
      </w:r>
      <w:r>
        <w:rPr>
          <w:color w:val="000000"/>
        </w:rPr>
        <w:t xml:space="preserve">” </w:t>
      </w:r>
      <w:r>
        <w:rPr>
          <w:rFonts w:ascii="Times New Roman;serif" w:hAnsi="Times New Roman;serif"/>
          <w:b w:val="false"/>
          <w:color w:val="000000"/>
          <w:sz w:val="20"/>
        </w:rPr>
        <w:t>means the tax receivable agreement, entered into on the CRIS Close Date, by and among CRIS, Thunder Sub, EVgo Holdings and LS Power Equity Advisors, LLC, as agent.</w:t>
      </w:r>
    </w:p>
    <w:p>
      <w:pPr>
        <w:pStyle w:val="TextBody"/>
        <w:bidi w:val="0"/>
        <w:spacing w:lineRule="auto" w:line="288" w:before="0" w:after="200"/>
        <w:jc w:val="both"/>
        <w:rPr/>
      </w:pPr>
      <w:r>
        <w:rPr>
          <w:color w:val="000000"/>
        </w:rPr>
        <w:t>“</w:t>
      </w:r>
      <w:r>
        <w:rPr>
          <w:rFonts w:ascii="Times New Roman;serif" w:hAnsi="Times New Roman;serif"/>
          <w:b w:val="false"/>
          <w:i/>
          <w:color w:val="000000"/>
          <w:sz w:val="20"/>
        </w:rPr>
        <w:t>Thunder Sub</w:t>
      </w:r>
      <w:r>
        <w:rPr>
          <w:color w:val="000000"/>
        </w:rPr>
        <w:t xml:space="preserve">” </w:t>
      </w:r>
      <w:r>
        <w:rPr>
          <w:rFonts w:ascii="Times New Roman;serif" w:hAnsi="Times New Roman;serif"/>
          <w:b w:val="false"/>
          <w:color w:val="000000"/>
          <w:sz w:val="20"/>
        </w:rPr>
        <w:t>means CRIS Thunder Merger LLC, a Delaware limited liability company and wholly owned subsidiary of EVgo Inc.</w:t>
      </w:r>
    </w:p>
    <w:p>
      <w:pPr>
        <w:pStyle w:val="TextBody"/>
        <w:bidi w:val="0"/>
        <w:spacing w:lineRule="auto" w:line="288" w:before="0" w:after="200"/>
        <w:jc w:val="both"/>
        <w:rPr/>
      </w:pPr>
      <w:r>
        <w:rPr>
          <w:color w:val="000000"/>
        </w:rPr>
        <w:t>“</w:t>
      </w:r>
      <w:r>
        <w:rPr>
          <w:rFonts w:ascii="Times New Roman;serif" w:hAnsi="Times New Roman;serif"/>
          <w:b w:val="false"/>
          <w:i/>
          <w:color w:val="000000"/>
          <w:sz w:val="20"/>
        </w:rPr>
        <w:t>TRA Holders</w:t>
      </w:r>
      <w:r>
        <w:rPr>
          <w:color w:val="000000"/>
        </w:rPr>
        <w:t xml:space="preserve">” </w:t>
      </w:r>
      <w:r>
        <w:rPr>
          <w:rFonts w:ascii="Times New Roman;serif" w:hAnsi="Times New Roman;serif"/>
          <w:b w:val="false"/>
          <w:color w:val="000000"/>
          <w:sz w:val="20"/>
        </w:rPr>
        <w:t xml:space="preserve">means EVgo Holdings, along with permitted assigns. </w:t>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U.S.</w:t>
      </w:r>
      <w:r>
        <w:rPr>
          <w:color w:val="000000"/>
        </w:rPr>
        <w:t xml:space="preserve">” </w:t>
      </w:r>
      <w:r>
        <w:rPr>
          <w:rFonts w:ascii="Times New Roman;serif" w:hAnsi="Times New Roman;serif"/>
          <w:b w:val="false"/>
          <w:color w:val="000000"/>
          <w:sz w:val="20"/>
        </w:rPr>
        <w:t xml:space="preserve">means the United States of America. </w:t>
      </w:r>
    </w:p>
    <w:p>
      <w:pPr>
        <w:pStyle w:val="TextBody"/>
        <w:bidi w:val="0"/>
        <w:spacing w:lineRule="auto" w:line="288" w:before="200" w:after="200"/>
        <w:jc w:val="both"/>
        <w:rPr/>
      </w:pPr>
      <w:r>
        <w:rPr>
          <w:color w:val="000000"/>
        </w:rPr>
        <w:t>“</w:t>
      </w:r>
      <w:r>
        <w:rPr>
          <w:rFonts w:ascii="Times New Roman;serif" w:hAnsi="Times New Roman;serif"/>
          <w:b w:val="false"/>
          <w:i/>
          <w:color w:val="000000"/>
          <w:sz w:val="20"/>
        </w:rPr>
        <w:t>Voyager</w:t>
      </w:r>
      <w:r>
        <w:rPr>
          <w:color w:val="000000"/>
        </w:rPr>
        <w:t xml:space="preserve"> </w:t>
      </w:r>
      <w:r>
        <w:rPr>
          <w:rFonts w:ascii="Times New Roman;serif" w:hAnsi="Times New Roman;serif"/>
          <w:b w:val="false"/>
          <w:i/>
          <w:color w:val="000000"/>
          <w:sz w:val="20"/>
        </w:rPr>
        <w:t>Availability Period</w:t>
      </w:r>
      <w:r>
        <w:rPr>
          <w:color w:val="000000"/>
        </w:rPr>
        <w:t xml:space="preserve">” </w:t>
      </w:r>
      <w:r>
        <w:rPr>
          <w:rFonts w:ascii="Times New Roman;serif" w:hAnsi="Times New Roman;serif"/>
          <w:b w:val="false"/>
          <w:color w:val="000000"/>
          <w:sz w:val="20"/>
        </w:rPr>
        <w:t>means, with respect to the Credit Agreement, the period beginning on the Voyager Closing Date and ending on the earliest of (i) the third anniversary of the Voyager Closing Date, (ii) the date on which Loans have been made in an amount greater than or equal to 95% of the original aggregate amount of the Commitments as of the Voyager Closing Date, and (iii) the date the Commitments are otherwise terminated under the Credit Agreement.</w:t>
      </w:r>
    </w:p>
    <w:p>
      <w:pPr>
        <w:pStyle w:val="TextBody"/>
        <w:bidi w:val="0"/>
        <w:spacing w:lineRule="auto" w:line="288" w:before="0" w:after="200"/>
        <w:jc w:val="both"/>
        <w:rPr/>
      </w:pPr>
      <w:r>
        <w:rPr>
          <w:color w:val="000000"/>
        </w:rPr>
        <w:t>“</w:t>
      </w:r>
      <w:r>
        <w:rPr>
          <w:rFonts w:ascii="Times New Roman;serif" w:hAnsi="Times New Roman;serif"/>
          <w:b w:val="false"/>
          <w:i/>
          <w:color w:val="000000"/>
          <w:sz w:val="20"/>
        </w:rPr>
        <w:t>Voyager Borrower</w:t>
      </w:r>
      <w:r>
        <w:rPr>
          <w:color w:val="000000"/>
        </w:rPr>
        <w:t xml:space="preserve">” </w:t>
      </w:r>
      <w:r>
        <w:rPr>
          <w:rFonts w:ascii="Times New Roman;serif" w:hAnsi="Times New Roman;serif"/>
          <w:b w:val="false"/>
          <w:color w:val="000000"/>
          <w:sz w:val="20"/>
        </w:rPr>
        <w:t>means EVgo Voyager Borrower LLC, a Delaware limited liability company and subsidiary of the Company.</w:t>
      </w:r>
    </w:p>
    <w:p>
      <w:pPr>
        <w:pStyle w:val="TextBody"/>
        <w:bidi w:val="0"/>
        <w:spacing w:lineRule="auto" w:line="288" w:before="0" w:after="200"/>
        <w:jc w:val="both"/>
        <w:rPr/>
      </w:pPr>
      <w:r>
        <w:rPr>
          <w:color w:val="000000"/>
        </w:rPr>
        <w:t>“</w:t>
      </w:r>
      <w:r>
        <w:rPr>
          <w:rFonts w:ascii="Times New Roman;serif" w:hAnsi="Times New Roman;serif"/>
          <w:b w:val="false"/>
          <w:i/>
          <w:color w:val="000000"/>
          <w:sz w:val="20"/>
        </w:rPr>
        <w:t>Voyager Closing Date</w:t>
      </w:r>
      <w:r>
        <w:rPr>
          <w:color w:val="000000"/>
        </w:rPr>
        <w:t xml:space="preserve">” </w:t>
      </w:r>
      <w:r>
        <w:rPr>
          <w:rFonts w:ascii="Times New Roman;serif" w:hAnsi="Times New Roman;serif"/>
          <w:b w:val="false"/>
          <w:color w:val="000000"/>
          <w:sz w:val="20"/>
        </w:rPr>
        <w:t>means July 23, 2025.</w:t>
      </w:r>
    </w:p>
    <w:p>
      <w:pPr>
        <w:pStyle w:val="TextBody"/>
        <w:bidi w:val="0"/>
        <w:spacing w:lineRule="auto" w:line="288" w:before="0" w:after="200"/>
        <w:jc w:val="both"/>
        <w:rPr/>
      </w:pPr>
      <w:r>
        <w:rPr>
          <w:color w:val="000000"/>
        </w:rPr>
        <w:t>“</w:t>
      </w:r>
      <w:r>
        <w:rPr>
          <w:rFonts w:ascii="Times New Roman;serif" w:hAnsi="Times New Roman;serif"/>
          <w:b w:val="false"/>
          <w:i/>
          <w:color w:val="000000"/>
          <w:sz w:val="20"/>
        </w:rPr>
        <w:t>Voyager Lenders</w:t>
      </w:r>
      <w:r>
        <w:rPr>
          <w:color w:val="000000"/>
        </w:rPr>
        <w:t xml:space="preserve">” </w:t>
      </w:r>
      <w:r>
        <w:rPr>
          <w:rFonts w:ascii="Times New Roman;serif" w:hAnsi="Times New Roman;serif"/>
          <w:b w:val="false"/>
          <w:color w:val="000000"/>
          <w:sz w:val="20"/>
        </w:rPr>
        <w:t>means the lenders party to the Credit Agreement.</w:t>
      </w:r>
    </w:p>
    <w:p>
      <w:pPr>
        <w:pStyle w:val="TextBody"/>
        <w:bidi w:val="0"/>
        <w:spacing w:lineRule="auto" w:line="288" w:before="0" w:after="220"/>
        <w:jc w:val="both"/>
        <w:rPr/>
      </w:pPr>
      <w:r>
        <w:rPr>
          <w:color w:val="000000"/>
        </w:rPr>
        <w:t>“</w:t>
      </w:r>
      <w:r>
        <w:rPr>
          <w:rFonts w:ascii="Times New Roman;serif" w:hAnsi="Times New Roman;serif"/>
          <w:b w:val="false"/>
          <w:i/>
          <w:color w:val="000000"/>
          <w:sz w:val="20"/>
        </w:rPr>
        <w:t>Warrants</w:t>
      </w:r>
      <w:r>
        <w:rPr>
          <w:color w:val="000000"/>
        </w:rPr>
        <w:t xml:space="preserve">” </w:t>
      </w:r>
      <w:r>
        <w:rPr>
          <w:rFonts w:ascii="Times New Roman;serif" w:hAnsi="Times New Roman;serif"/>
          <w:b w:val="false"/>
          <w:color w:val="000000"/>
          <w:sz w:val="20"/>
        </w:rPr>
        <w:t>means the Private Placement Warrants and the Public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including Management’s Discussion and Analysis of Financial Condition and Results of Operations in Part I, Item 2, contains forward-looking statements within the meaning of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as amended, and we are including this statement for purposes of complying with those safe harbor provisions. All statements contained in this document other than statements of historical fact, including, without limitation, statements regarding future financial performance, business strategies, market size and opportunity, expansion plans, future results of operations, capital expenditures, capital allocation, factors affecting our performance, estimated revenues, losses, projected costs, guidance, future regulatory developments, prospects, plans and objectives of management, are forward-looking statements. Such statements can be identified by the fact that they do not relate strictly to historical or current facts. When used in this Quarterly Report, words such as “ability,” “build,” “develop,” “drive,” “goal,” “likely,” “maintain,” “may,” “will,” “might,” “should,” “could,” “would,” “can,” “expect,” “elect,” “plan,” “objective,” “seek,” “grow,” “position,” “possible,” “potential,” “forecast,” “strategy,” “budget,” “target,” “if,” “anticipate,” “intend,” “believe,” “estimate,” “continue,” “project,” “outlook,” “predict,” “require,” “guidance,” “aim,” “scheduled,” “designed to,” “on track,” “opportunity,” and the negative of such terms or other similar expressions may identify forward-looking statements, but the absence of these words does not mean that a statement is not forward-looking. These forward-looking statements are based on our current expectations, estimates, projections and beliefs, as well as a number of assumptions concerning future events, and are not guarantees of performance. These forward-looking statements are subject to a number of risks, uncertainties and assumptions, including the risk factors described in our filings with the SEC.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Accordingly, you should not rely upon forward-looking statements as predictions of future events. Forward-looking statements in this Quarterly Report may include, without limitation, statements about: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adversely affecting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the widespread adoption of EVs and growth of the EV and EV charging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the DOE Loan and the Credit Agreement for the growth of our business, our ability to fully draw on the DOE Loan and the Credit Agreement, and our ability to comply with covenants and other terms of the DOE Loan and the Credit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from existing and new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expand into new service markets, grow our customer base and manage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associated with cyclical demand for our services and vulnerability to industry downturns and regional or national downturns;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our revenue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unfavorable conditions or disruptions in the capital and credit markets and our ability to obtain additional financing on commercially reasonable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generate cash, service indebtedness, and incur additional indebtedness;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evolving domestic and foreign government laws, regulations, rules and standards that impact our business, results of operations and financial condition, including regulations impacting the EV charging market and government programs designed to drive broader adoption of EVs and any reduction, modification or elimination of such programs, such as the enactment of the OBBBA, which addresses, among other things, the termination of the 30C income tax credit, other changes in policy under the current administration and 119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Congress and the potential changes in tariffs or sanctions and escalating trade wars;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adapt our assets and infrastructure to changes in industry and regulatory standards and market demands related to EV charging;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impediments to our expansion plans, including permitting and utility-related delays;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integrate any businesses we acquire;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recruit and retain experienced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legal proceedings or claims, including liability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dependence on third parties, including hardware and software vendors and service providers, utilities and permit-granting entities;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threats, data breaches, or other security incidents affecting our charging network, mobile application, or payment processing systems; and our ability to comply with evolving data privacy and data protection laws and regulations</w:t>
      </w:r>
      <w:r>
        <w:rPr>
          <w:rFonts w:ascii="sans-serif" w:hAnsi="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supply chain disruptions, elevated rates of inflation and other increases in expenses, including as a result of the implementation of tariffs by the U.S. and other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safety and environmental requirements or regulations that may subject us to unanticipated liabilities or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enter into and maintain valuable partnerships with Site Hosts, OEMs, fleet operators and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meet charger and other infrastructure installation targets, including those required under partnership agreements;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identify and complete suitable acquisitions or other strategic transactions to meet our goals and integrate key businesses we acquire;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the impact of general economic or political conditions, including associated changes in monetary policy such as elevated interest rates, evolving tariffs or other changes in trade policy, and geopolitical events such as the conflict in Ukraine and tensions in the Middle East region, on us and our industry, including our ability to manage such matters and their effects on consumers and customers;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 xml:space="preserve">other factors detailed under the section entitled Part II, Item 1A, </w:t>
      </w:r>
      <w:r>
        <w:rPr>
          <w:color w:val="000000"/>
        </w:rPr>
        <w:t>“</w:t>
      </w:r>
      <w:r>
        <w:rPr>
          <w:rFonts w:ascii="Times New Roman;serif" w:hAnsi="Times New Roman;serif"/>
          <w:b w:val="false"/>
          <w:color w:val="000000"/>
          <w:sz w:val="20"/>
          <w:shd w:fill="FFFFFF" w:val="clear"/>
        </w:rPr>
        <w:t>Risk Factors</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in this Quarterly Report, the risk factors described in Part I, Item 1A, </w:t>
      </w:r>
      <w:r>
        <w:rPr>
          <w:color w:val="000000"/>
        </w:rPr>
        <w:t>“</w:t>
      </w:r>
      <w:r>
        <w:rPr>
          <w:rFonts w:ascii="Times New Roman;serif" w:hAnsi="Times New Roman;serif"/>
          <w:b w:val="false"/>
          <w:color w:val="000000"/>
          <w:sz w:val="20"/>
          <w:shd w:fill="FFFFFF" w:val="clear"/>
        </w:rPr>
        <w:t>Risk Factors</w:t>
      </w:r>
      <w:r>
        <w:rPr>
          <w:color w:val="000000"/>
        </w:rPr>
        <w:t>”</w:t>
      </w:r>
      <w:r>
        <w:rPr>
          <w:color w:val="000000"/>
          <w:shd w:fill="FFFFFF" w:val="clear"/>
        </w:rPr>
        <w:t xml:space="preserve"> </w:t>
      </w:r>
      <w:r>
        <w:rPr>
          <w:rFonts w:ascii="Times New Roman;serif" w:hAnsi="Times New Roman;serif"/>
          <w:b w:val="false"/>
          <w:color w:val="000000"/>
          <w:sz w:val="20"/>
          <w:shd w:fill="FFFFFF" w:val="clear"/>
        </w:rPr>
        <w:t>of our most recent Annual Report on Form 10-K, and in our other periodic filings with the SEC.</w:t>
      </w:r>
    </w:p>
    <w:p>
      <w:pPr>
        <w:pStyle w:val="TextBody"/>
        <w:bidi w:val="0"/>
        <w:spacing w:lineRule="auto" w:line="288" w:before="200" w:after="400"/>
        <w:ind w:left="0" w:right="0" w:firstLine="360"/>
        <w:jc w:val="both"/>
        <w:rPr/>
      </w:pPr>
      <w:r>
        <w:rPr>
          <w:rFonts w:ascii="Times New Roman;serif" w:hAnsi="Times New Roman;serif"/>
          <w:b w:val="false"/>
          <w:color w:val="000000"/>
          <w:sz w:val="20"/>
        </w:rPr>
        <w:t xml:space="preserve">Our SEC filings are available publicly on the SEC’s website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The forward-looking statements contained in this Quarterly Report are based on our current expectations and beliefs concerning future developments and their potential effects on us. There can be no assurance that future developments affecting us will be those that we have anticipated. These forward-looking statements involve a number of known and unknown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Forward-looking statements in this Quarterly Report and in any document incorporated herein by reference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USE OF TRADEMARKS</w:t>
      </w:r>
    </w:p>
    <w:p>
      <w:pPr>
        <w:pStyle w:val="TextBody"/>
        <w:bidi w:val="0"/>
        <w:spacing w:lineRule="auto" w:line="288" w:before="0" w:after="400"/>
        <w:ind w:left="0" w:right="0" w:firstLine="360"/>
        <w:jc w:val="both"/>
        <w:rPr/>
      </w:pPr>
      <w:r>
        <w:rPr>
          <w:rFonts w:ascii="Times New Roman;serif" w:hAnsi="Times New Roman;serif"/>
          <w:b w:val="false"/>
          <w:color w:val="000000"/>
          <w:sz w:val="20"/>
        </w:rPr>
        <w:t>This Quarterly Report includes trademarks, service marks, and trade names owned by us. These include Connect the Watts</w:t>
      </w:r>
      <w:r>
        <w:rPr>
          <w:color w:val="000000"/>
        </w:rPr>
        <w:t>™</w:t>
      </w:r>
      <w:r>
        <w:rPr>
          <w:rFonts w:ascii="Times New Roman;serif" w:hAnsi="Times New Roman;serif"/>
          <w:b w:val="false"/>
          <w:color w:val="000000"/>
          <w:sz w:val="20"/>
        </w:rPr>
        <w:t>, EVgo</w:t>
      </w:r>
      <w:r>
        <w:rPr>
          <w:rFonts w:ascii="Times New Roman;serif" w:hAnsi="Times New Roman;serif"/>
          <w:b w:val="false"/>
          <w:color w:val="000000"/>
          <w:sz w:val="10"/>
        </w:rPr>
        <w:t>®</w:t>
      </w:r>
      <w:r>
        <w:rPr>
          <w:rFonts w:ascii="Times New Roman;serif" w:hAnsi="Times New Roman;serif"/>
          <w:b w:val="false"/>
          <w:color w:val="000000"/>
          <w:sz w:val="20"/>
        </w:rPr>
        <w:t>, EVgo Advantage</w:t>
      </w:r>
      <w:r>
        <w:rPr>
          <w:rFonts w:ascii="Times New Roman;serif" w:hAnsi="Times New Roman;serif"/>
          <w:b w:val="false"/>
          <w:color w:val="000000"/>
          <w:sz w:val="10"/>
        </w:rPr>
        <w:t>®</w:t>
      </w:r>
      <w:r>
        <w:rPr>
          <w:rFonts w:ascii="Times New Roman;serif" w:hAnsi="Times New Roman;serif"/>
          <w:b w:val="false"/>
          <w:color w:val="000000"/>
          <w:sz w:val="20"/>
        </w:rPr>
        <w:t>, EVgo Basic</w:t>
      </w:r>
      <w:r>
        <w:rPr>
          <w:color w:val="000000"/>
        </w:rPr>
        <w:t>™</w:t>
      </w:r>
      <w:r>
        <w:rPr>
          <w:rFonts w:ascii="Times New Roman;serif" w:hAnsi="Times New Roman;serif"/>
          <w:b w:val="false"/>
          <w:color w:val="000000"/>
          <w:sz w:val="20"/>
        </w:rPr>
        <w:t>, EVgo eXtend</w:t>
      </w:r>
      <w:r>
        <w:rPr>
          <w:color w:val="000000"/>
        </w:rPr>
        <w:t>™</w:t>
      </w:r>
      <w:r>
        <w:rPr>
          <w:rFonts w:ascii="Times New Roman;serif" w:hAnsi="Times New Roman;serif"/>
          <w:b w:val="false"/>
          <w:color w:val="000000"/>
          <w:sz w:val="20"/>
        </w:rPr>
        <w:t>, EVgo Inside</w:t>
      </w:r>
      <w:r>
        <w:rPr>
          <w:color w:val="000000"/>
        </w:rPr>
        <w:t>™</w:t>
      </w:r>
      <w:r>
        <w:rPr>
          <w:rFonts w:ascii="Times New Roman;serif" w:hAnsi="Times New Roman;serif"/>
          <w:b w:val="false"/>
          <w:color w:val="000000"/>
          <w:sz w:val="20"/>
        </w:rPr>
        <w:t>, EVgo Optima</w:t>
      </w:r>
      <w:r>
        <w:rPr>
          <w:color w:val="000000"/>
        </w:rPr>
        <w:t>™</w:t>
      </w:r>
      <w:r>
        <w:rPr>
          <w:rFonts w:ascii="Times New Roman;serif" w:hAnsi="Times New Roman;serif"/>
          <w:b w:val="false"/>
          <w:color w:val="000000"/>
          <w:sz w:val="20"/>
        </w:rPr>
        <w:t>, EVgo PlusMAX</w:t>
      </w:r>
      <w:r>
        <w:rPr>
          <w:color w:val="000000"/>
        </w:rPr>
        <w:t>™</w:t>
      </w:r>
      <w:r>
        <w:rPr>
          <w:rFonts w:ascii="Times New Roman;serif" w:hAnsi="Times New Roman;serif"/>
          <w:b w:val="false"/>
          <w:color w:val="000000"/>
          <w:sz w:val="20"/>
        </w:rPr>
        <w:t>, EVgo ReNew</w:t>
      </w:r>
      <w:r>
        <w:rPr>
          <w:color w:val="000000"/>
        </w:rPr>
        <w:t>™</w:t>
      </w:r>
      <w:r>
        <w:rPr>
          <w:rFonts w:ascii="Times New Roman;serif" w:hAnsi="Times New Roman;serif"/>
          <w:b w:val="false"/>
          <w:color w:val="000000"/>
          <w:sz w:val="20"/>
        </w:rPr>
        <w:t>, EVgo Reservations</w:t>
      </w:r>
      <w:r>
        <w:rPr>
          <w:color w:val="000000"/>
        </w:rPr>
        <w:t>™</w:t>
      </w:r>
      <w:r>
        <w:rPr>
          <w:rFonts w:ascii="Times New Roman;serif" w:hAnsi="Times New Roman;serif"/>
          <w:b w:val="false"/>
          <w:color w:val="000000"/>
          <w:sz w:val="20"/>
        </w:rPr>
        <w:t>, EVgo Rewards</w:t>
      </w:r>
      <w:r>
        <w:rPr>
          <w:rFonts w:ascii="Times New Roman;serif" w:hAnsi="Times New Roman;serif"/>
          <w:b w:val="false"/>
          <w:color w:val="000000"/>
          <w:sz w:val="10"/>
        </w:rPr>
        <w:t>®</w:t>
      </w:r>
      <w:r>
        <w:rPr>
          <w:rFonts w:ascii="Times New Roman;serif" w:hAnsi="Times New Roman;serif"/>
          <w:b w:val="false"/>
          <w:color w:val="000000"/>
          <w:sz w:val="20"/>
        </w:rPr>
        <w:t>, EVgo Access®, Pay with PlugShare™, PlugShare</w:t>
      </w:r>
      <w:r>
        <w:rPr>
          <w:rFonts w:ascii="Times New Roman;serif" w:hAnsi="Times New Roman;serif"/>
          <w:b w:val="false"/>
          <w:color w:val="000000"/>
          <w:sz w:val="10"/>
        </w:rPr>
        <w:t>®</w:t>
      </w:r>
      <w:r>
        <w:rPr>
          <w:rFonts w:ascii="Times New Roman;serif" w:hAnsi="Times New Roman;serif"/>
          <w:b w:val="false"/>
          <w:color w:val="000000"/>
          <w:sz w:val="20"/>
        </w:rPr>
        <w:t>, PlugShare Premium</w:t>
      </w:r>
      <w:r>
        <w:rPr>
          <w:color w:val="000000"/>
        </w:rPr>
        <w:t>™</w:t>
      </w:r>
      <w:r>
        <w:rPr>
          <w:rFonts w:ascii="Times New Roman;serif" w:hAnsi="Times New Roman;serif"/>
          <w:b w:val="false"/>
          <w:color w:val="000000"/>
          <w:sz w:val="20"/>
        </w:rPr>
        <w:t>, PlugShare Inside™, PlugShare Advantage™, PlugShare DataTool™, PlugInsights™, PlugScore™, and Electronic Plug Design®. Our trademarks and service marks are either registered, are in the process of being registered, or have been used as common law marks by us. This Quarterly Report may contain additional trademarks, service marks, and trade names of others, which are, to our knowledge, the property of their respective owners. Solely for convenience, trademarks, service marks, and trade names referred to in this Quarterly Report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of other parties’ trademarks, service marks, or trade names to imply, and such use or display should not be construed to imply a relationship with, endorsement from, or sponsorship of us by such other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220"/>
        <w:ind w:left="0" w:right="0" w:firstLine="360"/>
        <w:jc w:val="both"/>
        <w:rPr/>
      </w:pPr>
      <w:r>
        <w:rPr>
          <w:rFonts w:ascii="Times New Roman;serif" w:hAnsi="Times New Roman;serif"/>
          <w:b w:val="false"/>
          <w:color w:val="000000"/>
          <w:sz w:val="20"/>
        </w:rPr>
        <w:t xml:space="preserve">As soon as reasonably practicable after they are filed electronically with the SEC, our annual reports on Form 10-K, quarterly reports on Form 10-Q, current reports on Form 8-K, and amendments to those reports are available without charge on our website, </w:t>
      </w:r>
      <w:r>
        <w:rPr>
          <w:rFonts w:ascii="Times New Roman;serif" w:hAnsi="Times New Roman;serif"/>
          <w:b w:val="false"/>
          <w:i/>
          <w:color w:val="000000"/>
          <w:sz w:val="20"/>
        </w:rPr>
        <w:t>investors.evgo.com</w:t>
      </w:r>
      <w:r>
        <w:rPr>
          <w:rFonts w:ascii="Times New Roman;serif" w:hAnsi="Times New Roman;serif"/>
          <w:b w:val="false"/>
          <w:color w:val="000000"/>
          <w:sz w:val="20"/>
        </w:rPr>
        <w:t>. We also use the investor relations section of our website and our social media channels as tools to disclose important information about us and comply with our disclosure obligations under Regulation Fair Disclosure. We encourage investors and others to review the information we make public on the investor relations section of our website and our social media channels, as such information could be deemed material information. We are providing the address to our website solely for the information of investors. We do not intend the address to be an active link or to otherwise incorporate the contents of the website into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u w:val="single"/>
        </w:rPr>
      </w:pPr>
      <w:bookmarkStart w:id="0" w:name="iffd3cbd4c2744555b9dee90d84706e24_252"/>
      <w:bookmarkEnd w:id="0"/>
      <w:r>
        <w:rPr>
          <w:rFonts w:ascii="Times New Roman;serif" w:hAnsi="Times New Roman;serif"/>
          <w:b/>
          <w:color w:val="000000"/>
          <w:sz w:val="20"/>
          <w:u w:val="single"/>
        </w:rPr>
        <w:t>EVgo Inc. and Subsidiaries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699"/>
        <w:gridCol w:w="2293"/>
        <w:gridCol w:w="2279"/>
        <w:gridCol w:w="211"/>
        <w:gridCol w:w="826"/>
        <w:gridCol w:w="109"/>
        <w:gridCol w:w="109"/>
        <w:gridCol w:w="109"/>
        <w:gridCol w:w="109"/>
        <w:gridCol w:w="258"/>
        <w:gridCol w:w="1013"/>
        <w:gridCol w:w="190"/>
      </w:tblGrid>
      <w:tr>
        <w:trPr/>
        <w:tc>
          <w:tcPr>
            <w:tcW w:w="269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$32 and $75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capital-build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296,480 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460,747 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964,830 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 and 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72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135,322 </w:t>
            </w:r>
          </w:p>
        </w:tc>
        <w:tc>
          <w:tcPr>
            <w:tcW w:w="19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Capital-build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72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204,316 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657,307 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578,886 </w:t>
            </w:r>
          </w:p>
        </w:tc>
        <w:tc>
          <w:tcPr>
            <w:tcW w:w="19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73" w:before="240" w:after="6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notes are an integral part of these condensed consolidated financial statements.</w:t>
            </w:r>
          </w:p>
        </w:tc>
      </w:tr>
      <w:tr>
        <w:trPr/>
        <w:tc>
          <w:tcPr>
            <w:tcW w:w="72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120"/>
        <w:jc w:val="left"/>
        <w:rPr/>
      </w:pPr>
      <w:hyperlink w:anchor="ic87f8a74faaa4d159c11dee4d6d573bf_7">
        <w:r>
          <w:rPr>
            <w:rStyle w:val="InternetLink"/>
            <w:rFonts w:ascii="Times New Roman;serif" w:hAnsi="Times New Roman;serif"/>
            <w:b w:val="false"/>
            <w:color w:val="000080"/>
            <w:sz w:val="20"/>
            <w:u w:val="single"/>
          </w:rPr>
          <w:t xml:space="preserve">Table of </w:t>
        </w:r>
      </w:hyperlink>
      <w:hyperlink w:anchor="ic87f8a74faaa4d159c11dee4d6d573bf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18"/>
        <w:gridCol w:w="2257"/>
        <w:gridCol w:w="2271"/>
        <w:gridCol w:w="211"/>
        <w:gridCol w:w="826"/>
        <w:gridCol w:w="109"/>
        <w:gridCol w:w="109"/>
        <w:gridCol w:w="109"/>
        <w:gridCol w:w="109"/>
        <w:gridCol w:w="227"/>
        <w:gridCol w:w="891"/>
        <w:gridCol w:w="168"/>
      </w:tblGrid>
      <w:tr>
        <w:trPr/>
        <w:tc>
          <w:tcPr>
            <w:tcW w:w="291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502,848 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as of June 30, 2026 and December 31, 2025; none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1,200,000,000 shares authorized as of June 30, 2026 and December 31, 2025; 140,390,001 and 134,717,984 shares issued and outstanding (excluding 718,750 shares subject to possible forfeiture)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400,000,000 shares authorized as of June 30, 2026 and December 31, 2025; 172,800,000 shares issued and outstanding as of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(124,687)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(116,904)</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 and stockholders’ deficit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966,905 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964,830 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10" name="Frame1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5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29"/>
        <w:gridCol w:w="1454"/>
        <w:gridCol w:w="1466"/>
        <w:gridCol w:w="211"/>
        <w:gridCol w:w="774"/>
        <w:gridCol w:w="109"/>
        <w:gridCol w:w="109"/>
        <w:gridCol w:w="109"/>
        <w:gridCol w:w="109"/>
        <w:gridCol w:w="211"/>
        <w:gridCol w:w="774"/>
        <w:gridCol w:w="109"/>
        <w:gridCol w:w="109"/>
        <w:gridCol w:w="109"/>
        <w:gridCol w:w="109"/>
        <w:gridCol w:w="211"/>
        <w:gridCol w:w="826"/>
        <w:gridCol w:w="109"/>
        <w:gridCol w:w="109"/>
        <w:gridCol w:w="109"/>
        <w:gridCol w:w="109"/>
        <w:gridCol w:w="211"/>
        <w:gridCol w:w="774"/>
        <w:gridCol w:w="156"/>
      </w:tblGrid>
      <w:tr>
        <w:trPr/>
        <w:tc>
          <w:tcPr>
            <w:tcW w:w="182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charging network</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Non-charging network</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eXtend </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 and ancillary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non-charging network</w:t>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46,202 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75,041 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74,391 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82,648 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173,317 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network</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net of capital-build amortization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150,086 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23,231 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87,443 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(30,812)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(64,212)</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(46,592)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(29,818)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(55,954)</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(83,323)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(56,048)</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redeemable noncontrolling interest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(24,360)</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11" name="Frame1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41"/>
        <w:gridCol w:w="1519"/>
        <w:gridCol w:w="1525"/>
        <w:gridCol w:w="211"/>
        <w:gridCol w:w="778"/>
        <w:gridCol w:w="109"/>
        <w:gridCol w:w="109"/>
        <w:gridCol w:w="109"/>
        <w:gridCol w:w="109"/>
        <w:gridCol w:w="211"/>
        <w:gridCol w:w="778"/>
        <w:gridCol w:w="109"/>
        <w:gridCol w:w="109"/>
        <w:gridCol w:w="109"/>
        <w:gridCol w:w="109"/>
        <w:gridCol w:w="211"/>
        <w:gridCol w:w="778"/>
        <w:gridCol w:w="109"/>
        <w:gridCol w:w="109"/>
        <w:gridCol w:w="109"/>
        <w:gridCol w:w="109"/>
        <w:gridCol w:w="211"/>
        <w:gridCol w:w="778"/>
        <w:gridCol w:w="156"/>
      </w:tblGrid>
      <w:tr>
        <w:trPr/>
        <w:tc>
          <w:tcPr>
            <w:tcW w:w="174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(83,323)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(56,048)</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interest rate collar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interest rate collar attributable to noncontrolling interest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w:t>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attributable to Class A common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(56,048)</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12"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5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372" w:type="dxa"/>
        <w:jc w:val="left"/>
        <w:tblInd w:w="0" w:type="dxa"/>
        <w:tblLayout w:type="fixed"/>
        <w:tblCellMar>
          <w:top w:w="28" w:type="dxa"/>
          <w:left w:w="28" w:type="dxa"/>
          <w:bottom w:w="28" w:type="dxa"/>
          <w:right w:w="28" w:type="dxa"/>
        </w:tblCellMar>
      </w:tblPr>
      <w:tblGrid>
        <w:gridCol w:w="644"/>
        <w:gridCol w:w="263"/>
        <w:gridCol w:w="264"/>
        <w:gridCol w:w="109"/>
        <w:gridCol w:w="109"/>
        <w:gridCol w:w="109"/>
        <w:gridCol w:w="368"/>
        <w:gridCol w:w="368"/>
        <w:gridCol w:w="196"/>
        <w:gridCol w:w="109"/>
        <w:gridCol w:w="109"/>
        <w:gridCol w:w="109"/>
        <w:gridCol w:w="212"/>
        <w:gridCol w:w="359"/>
        <w:gridCol w:w="120"/>
        <w:gridCol w:w="109"/>
        <w:gridCol w:w="109"/>
        <w:gridCol w:w="109"/>
        <w:gridCol w:w="368"/>
        <w:gridCol w:w="368"/>
        <w:gridCol w:w="196"/>
        <w:gridCol w:w="109"/>
        <w:gridCol w:w="109"/>
        <w:gridCol w:w="109"/>
        <w:gridCol w:w="212"/>
        <w:gridCol w:w="359"/>
        <w:gridCol w:w="120"/>
        <w:gridCol w:w="109"/>
        <w:gridCol w:w="109"/>
        <w:gridCol w:w="109"/>
        <w:gridCol w:w="198"/>
        <w:gridCol w:w="562"/>
        <w:gridCol w:w="111"/>
        <w:gridCol w:w="109"/>
        <w:gridCol w:w="109"/>
        <w:gridCol w:w="109"/>
        <w:gridCol w:w="196"/>
        <w:gridCol w:w="806"/>
        <w:gridCol w:w="109"/>
        <w:gridCol w:w="109"/>
        <w:gridCol w:w="109"/>
        <w:gridCol w:w="109"/>
        <w:gridCol w:w="335"/>
        <w:gridCol w:w="694"/>
        <w:gridCol w:w="187"/>
        <w:gridCol w:w="109"/>
        <w:gridCol w:w="109"/>
        <w:gridCol w:w="109"/>
        <w:gridCol w:w="196"/>
        <w:gridCol w:w="791"/>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Class A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Class B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 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 (Deficit)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134,718 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172,800 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(124,687)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(116,904)</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adjustment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140,062 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172,800 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11,450 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27,254 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38,735 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loss²</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 adjustment to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140,390 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172,800 </w:t>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(20,443)</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8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(20,450)</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________________________________________________________________________________________________</w:t>
      </w:r>
    </w:p>
    <w:p>
      <w:pPr>
        <w:pStyle w:val="TextBody"/>
        <w:bidi w:val="0"/>
        <w:spacing w:lineRule="auto" w:line="240" w:before="0" w:after="40"/>
        <w:ind w:left="0" w:right="0" w:hanging="86"/>
        <w:jc w:val="left"/>
        <w:rPr/>
      </w:pPr>
      <w:r>
        <w:rPr>
          <w:rFonts w:ascii="Times New Roman;serif" w:hAnsi="Times New Roman;serif"/>
          <w:b w:val="false"/>
          <w:i/>
          <w:color w:val="000000"/>
          <w:sz w:val="10"/>
        </w:rPr>
        <w:t>1</w:t>
      </w:r>
      <w:r>
        <w:rPr>
          <w:rFonts w:ascii="Times New Roman;serif" w:hAnsi="Times New Roman;serif"/>
          <w:b w:val="false"/>
          <w:i/>
          <w:color w:val="000000"/>
          <w:sz w:val="16"/>
        </w:rPr>
        <w:t>Excludes $20.6 million of net loss attributable to redeemable noncontrolling interest.</w:t>
      </w:r>
    </w:p>
    <w:p>
      <w:pPr>
        <w:pStyle w:val="TextBody"/>
        <w:bidi w:val="0"/>
        <w:spacing w:lineRule="auto" w:line="240" w:before="0" w:after="0"/>
        <w:ind w:left="0" w:right="0" w:firstLine="90"/>
        <w:jc w:val="left"/>
        <w:rPr/>
      </w:pP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Excludes $25.6 million and $46 thousand of net loss and other comprehensive loss, respectively, attributable to redeemable noncontrolling interest.</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13"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5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pPr>
      <w:r>
        <w:rPr>
          <w:rFonts w:ascii="Times New Roman;serif" w:hAnsi="Times New Roman;serif"/>
          <w:b/>
          <w:color w:val="000000"/>
          <w:sz w:val="20"/>
        </w:rPr>
        <w:t>For the Six Months Ended June 30, 2025</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40"/>
        <w:ind w:left="0" w:right="0" w:firstLine="274"/>
        <w:jc w:val="left"/>
        <w:rPr/>
      </w:pPr>
      <w:r>
        <w:rPr/>
      </w:r>
    </w:p>
    <w:tbl>
      <w:tblPr>
        <w:tblW w:w="10304" w:type="dxa"/>
        <w:jc w:val="left"/>
        <w:tblInd w:w="0" w:type="dxa"/>
        <w:tblLayout w:type="fixed"/>
        <w:tblCellMar>
          <w:top w:w="28" w:type="dxa"/>
          <w:left w:w="28" w:type="dxa"/>
          <w:bottom w:w="28" w:type="dxa"/>
          <w:right w:w="28" w:type="dxa"/>
        </w:tblCellMar>
      </w:tblPr>
      <w:tblGrid>
        <w:gridCol w:w="824"/>
        <w:gridCol w:w="263"/>
        <w:gridCol w:w="264"/>
        <w:gridCol w:w="109"/>
        <w:gridCol w:w="109"/>
        <w:gridCol w:w="109"/>
        <w:gridCol w:w="413"/>
        <w:gridCol w:w="413"/>
        <w:gridCol w:w="196"/>
        <w:gridCol w:w="109"/>
        <w:gridCol w:w="109"/>
        <w:gridCol w:w="109"/>
        <w:gridCol w:w="221"/>
        <w:gridCol w:w="361"/>
        <w:gridCol w:w="109"/>
        <w:gridCol w:w="109"/>
        <w:gridCol w:w="109"/>
        <w:gridCol w:w="109"/>
        <w:gridCol w:w="413"/>
        <w:gridCol w:w="413"/>
        <w:gridCol w:w="196"/>
        <w:gridCol w:w="109"/>
        <w:gridCol w:w="109"/>
        <w:gridCol w:w="109"/>
        <w:gridCol w:w="221"/>
        <w:gridCol w:w="361"/>
        <w:gridCol w:w="109"/>
        <w:gridCol w:w="109"/>
        <w:gridCol w:w="109"/>
        <w:gridCol w:w="109"/>
        <w:gridCol w:w="253"/>
        <w:gridCol w:w="487"/>
        <w:gridCol w:w="131"/>
        <w:gridCol w:w="109"/>
        <w:gridCol w:w="109"/>
        <w:gridCol w:w="109"/>
        <w:gridCol w:w="211"/>
        <w:gridCol w:w="841"/>
        <w:gridCol w:w="109"/>
        <w:gridCol w:w="109"/>
        <w:gridCol w:w="109"/>
        <w:gridCol w:w="109"/>
        <w:gridCol w:w="211"/>
        <w:gridCol w:w="84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129,974 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172,800 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(256,139)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(256,109)</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adjustment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133,312 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172,800 </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(36,774)</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under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loss²</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adjustment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133,526 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172,800 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(230,170)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(230,140)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________________________________________________________________________________________________</w:t>
      </w:r>
    </w:p>
    <w:p>
      <w:pPr>
        <w:pStyle w:val="TextBody"/>
        <w:bidi w:val="0"/>
        <w:spacing w:lineRule="auto" w:line="288" w:before="0" w:after="40"/>
        <w:ind w:left="0" w:right="0" w:hanging="86"/>
        <w:jc w:val="left"/>
        <w:rPr/>
      </w:pPr>
      <w:r>
        <w:rPr>
          <w:rFonts w:ascii="Times New Roman;serif" w:hAnsi="Times New Roman;serif"/>
          <w:b w:val="false"/>
          <w:i/>
          <w:color w:val="000000"/>
          <w:sz w:val="10"/>
        </w:rPr>
        <w:t>1</w:t>
      </w:r>
      <w:r>
        <w:rPr>
          <w:rFonts w:ascii="Times New Roman;serif" w:hAnsi="Times New Roman;serif"/>
          <w:b w:val="false"/>
          <w:i/>
          <w:color w:val="000000"/>
          <w:sz w:val="16"/>
        </w:rPr>
        <w:t>Excludes $14.9 million of net loss attributable to redeemable noncontrolling interest.</w:t>
      </w:r>
    </w:p>
    <w:p>
      <w:pPr>
        <w:pStyle w:val="TextBody"/>
        <w:bidi w:val="0"/>
        <w:spacing w:lineRule="auto" w:line="240" w:before="0" w:after="0"/>
        <w:ind w:left="0" w:right="0" w:hanging="90"/>
        <w:jc w:val="left"/>
        <w:rPr/>
      </w:pPr>
      <w:r>
        <w:rPr>
          <w:rFonts w:ascii="Times New Roman;serif" w:hAnsi="Times New Roman;serif"/>
          <w:b w:val="false"/>
          <w:i/>
          <w:color w:val="000000"/>
          <w:sz w:val="10"/>
        </w:rPr>
        <w:t>2</w:t>
      </w:r>
      <w:r>
        <w:rPr>
          <w:color w:val="000000"/>
        </w:rPr>
        <w:t xml:space="preserve"> </w:t>
      </w:r>
      <w:r>
        <w:rPr>
          <w:rFonts w:ascii="Times New Roman;serif" w:hAnsi="Times New Roman;serif"/>
          <w:b w:val="false"/>
          <w:i/>
          <w:color w:val="000000"/>
          <w:sz w:val="16"/>
        </w:rPr>
        <w:t>Excludes $16.8 million of net loss attributable to redeemable noncontrolling interest.</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4"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5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8"/>
        <w:gridCol w:w="2388"/>
        <w:gridCol w:w="2394"/>
        <w:gridCol w:w="211"/>
        <w:gridCol w:w="826"/>
        <w:gridCol w:w="109"/>
        <w:gridCol w:w="109"/>
        <w:gridCol w:w="109"/>
        <w:gridCol w:w="109"/>
        <w:gridCol w:w="211"/>
        <w:gridCol w:w="826"/>
        <w:gridCol w:w="155"/>
      </w:tblGrid>
      <w:tr>
        <w:trPr/>
        <w:tc>
          <w:tcPr>
            <w:tcW w:w="275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disposal of property and equipment, net of insurance recoveries, and impairment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 amortization of deferred debt issuance costs, net of capitalized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sales-type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insurance for property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(64,335)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(41,167)</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capital-build funding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withholding tax on net issuance of restricted stock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93,091 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100,189 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197,650 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183,377 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5"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5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244"/>
        <w:gridCol w:w="1775"/>
        <w:gridCol w:w="1780"/>
        <w:gridCol w:w="348"/>
        <w:gridCol w:w="1366"/>
        <w:gridCol w:w="179"/>
        <w:gridCol w:w="179"/>
        <w:gridCol w:w="179"/>
        <w:gridCol w:w="179"/>
        <w:gridCol w:w="348"/>
        <w:gridCol w:w="1366"/>
        <w:gridCol w:w="262"/>
      </w:tblGrid>
      <w:tr>
        <w:trPr/>
        <w:tc>
          <w:tcPr>
            <w:tcW w:w="224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893"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condensed consolidated balance sheets</w:t>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Beginning of period</w:t>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beginning of period</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210,746 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120,512 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End of period</w:t>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154,468 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end of period</w:t>
            </w:r>
          </w:p>
        </w:tc>
        <w:tc>
          <w:tcPr>
            <w:tcW w:w="34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197,650 </w:t>
            </w:r>
          </w:p>
        </w:tc>
        <w:tc>
          <w:tcPr>
            <w:tcW w:w="17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183,377 </w:t>
            </w:r>
          </w:p>
        </w:tc>
        <w:tc>
          <w:tcPr>
            <w:tcW w:w="2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cash flow data</w:t>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to redeemable noncontrolling interest</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37,450 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 accounts payable and accrued liabilities</w:t>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derecognized for net investment in sales-type lease</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 in accounts payable, accrued liabilities, other current liabilities and other liabilities</w:t>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in capital-build</w:t>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decrease in deferred debt issuance costs and long-term liabilities</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 to property, equipment and software</w:t>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Financed insurance premium liabilities</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in asset retirement obligations</w:t>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capitalized to property, equipment and software</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interest rate collar designated as cash flow hedge</w:t>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issuance costs in accounts payable and accrued liabilities</w:t>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9"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6"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6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EVgo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00"/>
        <w:ind w:left="0" w:right="0" w:firstLine="36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 xml:space="preserve">Note 1 — Description of Business and Nature of Operations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EVgo Inc. (“EVgo” or the “Company”) owns and operates a public direct current (“DC”) fast charging network for electric vehicles (“EVs”) in the United States (“U.S.”). EVgo’s network of charging stations provides EV charging infrastructure to consumers and businesses. Its network is capable of charging all EV models and charging standards currently available in the U.S. EVgo partners with automotive original equipment manufacturers (“OEMs”), fleet and rideshare operators, retail hosts such as grocery stores, shopping centers, gas stations, parking lot operators, governments and other organizations and property owners in order to locate and deploy its EV charging infrastructure. EVgo Services LLC (“EVgo Services”) was formed in October 2010 as NRG EV Services, LLC, a Delaware limited liability company and wholly owned subsidiary of NRG Energy, Inc., an integrated power company based in Houston, Texas (“NRG”). On June 17, 2016, NRG sold a majority interest in EVgo Services to Vision Ridge Partners.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16, 2020, EVgo Holdco, LLC (“EVgo Holdco”), a Delaware limited liability company and a subsidiary of LS Power Equity Partners IV, L.P. (“LS Power”), completed an acquisition of EVgo Services pursuant to the merger agreement among EVgo Services, its investors and EVgo Holdco, whereby EVgo Services became a wholly-owned subsidiary of EVgo Holdco, resulting in a change in control of EVgo Services (the “Holdco Merger”). LS Power formed EVgo Holdings, LLC (“EVgo Holdings”) and EVgo Holdco as part of the transaction.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EVgo Inc. was incorporated in Delaware on August 4, 2020 under the name “Climate Change Crisis Real Impact I Acquisition Corporation” (“CRIS”) and was formed for the purpose of entering into a merger, capital stock exchange, asset acquisition, stock purchase, reorganization or similar business combination with one or more businesses. On October 2, 2020, the Company completed its initial public offering (the “Initial Public Offering”). Simultaneously with the closing of the Initial Public Offering, the Company completed the sale of the 6,600,000 warrants (the “Private Placement Warrants”) at $1.00 in a private placement to Climate Change Crisis Real Impact I Acquisition Holdings, LLC (the “Sponsor”).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2021 (the “CRIS Close Date”), the Company consummated the business combination (the “CRIS Business Combination”) with CRIS, CRIS Thunder Merger LLC (“Thunder Sub”), EVgo Holdings, EVgo Holdco and EVgo OpCo, LLC (“EVgo OpCo” and together with EVgo Holdings and EVgo Holdco, the “EVgo Parties”) pursuant to the business combination agreement dated January 21, 2021. Following the CRIS Close Date, the combined company was organized in an “Up-C” structure in which the business of EVgo Holdco and its subsidiaries is held by EVgo OpCo and continues to operate through the subsidiaries of EVgo Holdco and in which the Company’s only direct assets consist of equity interests in Thunder Sub, and the only assets of Thunder Sub are the common units in EVgo OpCo (“EVgo OpCo Units”).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22, 2023, in connection with an underwritten equity offering, EVgo Member Holdings, LLC, an affiliate of EVgo Holdings, the Company’s controlling stockholder, purchased 5,882,352 shares of the Company’s Class A common stock, par value $0.0001 per share (“Class A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sole managing member of EVgo OpCo, Thunder Sub operates and controls all of the business and affairs of EVgo OpCo and through EVgo OpCo and its subsidiaries, conducts its business. Accordingly, the Company consolidates the financial results of EVgo OpCo and records a redeemable noncontrolling interest in its condensed consolidated financial statements to reflect the EVgo OpCo Units that are owned by EVgo Holdings. Each EVgo OpCo Unit, together with one share of Class B common stock, is redeemable, subject to certain conditions, for either one share of Class A common stock, or, at EVgo OpCo’s election, the cash equivalent to the market value of one share of Class A common stock, pursuant to the Amended and Restated LLC Agreement of EVgo OpCo dated July 1, 2021 (the “EVgo OpCo A&amp;R LLC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2 —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are presented in accordance with accounting principles generally accepted in the U.S. (“GAAP”) and pursuant to the rules and regulations of the U.S. Securities and Exchange Commission (“SEC”). References to GAAP issued by the Financial Accounting Standards Board (“FASB”) in these notes to the condensed consolidated financial statements are to the FASB Accounting Standards Codification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(“ASC”). The condensed consolidated financial statements include the accounts of the Company and its subsidiaries and all intercompany transactions have been eliminated in consolidation.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operating results for the full year ending December 31, 2026, or any other period. These condensed consolidated financial statements should be read in conjunction with the audited consolidated financial statements and accompanying notes included in the Annual Report.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GAAP defines subsequent events as events or transactions that occur after the balance sheet date but before financial statements are issued or are available to be issued. Based on their nature, magnitude and timing, certain subsequent events may be required to be reflected in the condensed consolidated financial statements at the balance sheet date and/or be required to be disclosed in the notes to the condensed consolidated financial statements. The Company has evaluated subsequent events accordingly.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accordance with U.S. GAAP. The preparation of EVgo’s condensed consolidated financial statements requires the Company to make judgments, estimates and assumptions that affect the reported amounts of assets, liabilities, income and expenses and related disclosures of contingent assets and liabilities. Significant estimates made by management include, but are not limited to, variable consideration estimates and stand-alone selling prices (“SSP”) for performance obligations for revenue, valuation allowances for deferred tax assets, depreciable lives of property and equipment and intangible assets, costs associated with asset retirement obligations, the fair value of operating lease right-of-use (“ROU”) assets and liabilities, share-based compensation, earnout liability and warrant liabilities, and the fair value of long-term debt. Management bases these estimates on its historical experience and various other assumptions that it believes to be reasonable under the circumstances. Actual results experienced may vary materially and adversely from EVgo’s estimates. Revisions to estimates are recognized prospectively.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Business and Credit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its cash accounts in commercial banks. Cash balances held in a commercial bank are secured by the Federal Deposit Insurance Corporation up to $250,000. A portion of deposit balances may exceed federal insurance limits. The Company has not experienced any losses on such accounts. The Company mitigates its risk with respect to cash by maintaining its deposits at high-quality financial institutions and monitoring the credit ratings of those institutions.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three customers that comprised 52.1% of the Company’s net accounts receivable as of June 30, 2026. The Company had one customer that comprised 40.4% of the Company’s net accounts receivable as of December 31, 2025. For the three months ended June 30, 2026 and 2025, one customer represented 21.8% and 38.2%, respectively, of total revenue. For the six months ended June 30, 2026 and 2025, one customer represented 26.6% and 35.1%, respectively, of total revenue. The loss, non-renewal, or material reduction in business from any such significant customer could have a material adverse effect on the Company's revenue, results of operations, and cash flows.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customer concentration, the Company's charging operations are geographically concentrated, which exposes the Company to region-specific operational and economic risks. For the three months ended June 30, 2026 and 2025, 46.1% and 33.7%, respectively, of charging revenues were generated in California. For the six months ended June 30, 2026 and 2025, 49.7% and 35.0%, respectively, of charging revenues were generated in California.</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one vendor provided 76.0% and 92.8% of EVgo’s total charging equipment, respectively. For the six months ended June 30, 2026 and 2025, one vendor and two vendors provided 80.3% and 91.1% of EVgo's total charging equipment,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the first quarter of 2026, certain disaggregated charging network revenue amounts in the condensed consolidated statements of operations have been aggregated. The disaggregated charging network revenue disclosure has been moved from the condensed consolidated statements of operations to Note 3. This reclassification had no impact on the reported total charging network revenue. Previously reported amounts have been updated to conform to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restricted cash, current and noncurrent, include cash held in cash depository accounts in major banks in the U.S. and are stated at cost. Cash equivalents are carried at fair value and are primarily invested in money market funds. Cash that is held by a financial institution and has restrictions on its availability to the Company is classified as current and noncurrent restricted cash.</w:t>
      </w:r>
    </w:p>
    <w:p>
      <w:pPr>
        <w:pStyle w:val="TextBody"/>
        <w:bidi w:val="0"/>
        <w:spacing w:lineRule="auto" w:line="288" w:before="0" w:after="0"/>
        <w:ind w:left="0" w:right="0" w:firstLine="360"/>
        <w:jc w:val="both"/>
        <w:rPr/>
      </w:pPr>
      <w:r>
        <w:rPr>
          <w:rFonts w:ascii="Times New Roman;serif" w:hAnsi="Times New Roman;serif"/>
          <w:b w:val="false"/>
          <w:color w:val="000000"/>
          <w:sz w:val="20"/>
        </w:rPr>
        <w:t>As of June 30, 2026 and December 31, 2025, the Company had restricted cash associated with long-term debt of $75.2 million (of which $14.1 million w</w:t>
      </w:r>
      <w:r>
        <w:rPr>
          <w:rFonts w:ascii="Times New Roman;serif" w:hAnsi="Times New Roman;serif"/>
          <w:b w:val="false"/>
          <w:color w:val="000000"/>
          <w:sz w:val="20"/>
          <w:shd w:fill="FFFFFF" w:val="clear"/>
        </w:rPr>
        <w:t>as noncurrent) and $59.1 million (of which $10.2 million was noncurrent), r</w:t>
      </w:r>
      <w:r>
        <w:rPr>
          <w:rFonts w:ascii="Times New Roman;serif" w:hAnsi="Times New Roman;serif"/>
          <w:b w:val="false"/>
          <w:color w:val="000000"/>
          <w:sz w:val="20"/>
        </w:rPr>
        <w:t>espectively (see Note 8). The Company had unused letters of credit, which were collateralized with cash classified as restricted cash on the Company's condensed consolidated balance sheets of $0.4 million as of June 30, 2026 and December 31, 2025, associated with the construction of its charging stations. The Company also had $0.2 million in restricted cash as of June 30, 2026 and December 31, 2025, related to a credit card agreement.</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Accounts Receivable and Allowance for Doubtful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are amounts due from customers under normal trade terms. Payment terms for accounts receivable related to capital-build agreements are specified in the individual agreements and vary depending on the counterparty. Management reviews accounts receivable on a recurring basis to determine if any accounts receivable will potentially be uncollectible. The Company reserves for any accounts receivable balances that are determined to be uncollectible in the allowance for doubtful accounts. After all internal attempts to collect an account receivable have failed, the Company places the outstanding balance with a third-party collection agency and the account receivable is written off against the allowance for doubtful accounts. The Company also writes off any accounts receivables that are suspected of being related to misuses. Unbilled contract receivables, for which performance obligations have been met, were $3.8 million and $3.8 million as of June 30, 2026 and December 31, 2025, respectively.</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 xml:space="preserve">Lease Accounting – Sales Type Leases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(loss) from sales-type leases, which is recognized at lease commencement when control transfers to the lessee and collectibility is considered probable, equals the sales price (fair value or lease receivable, if lower) less the carrying value of the asset and deferred initial direct costs (cost of sales). The sales price is included in AV and ancillary revenue and the related cost of sales is included in other cost of sales. If collectibility is not considered probable at lease commencement, the asset is not derecognized and lease payments received are recorded as a deposit liability until either: (a) collectibility becomes probable, or (b) the lease is terminated or the asset is repossessed and payments are nonrefundable. At that point, the asset and liability are derecognized, and a net investment in lease and sale income (loss) is recognized. If collectibility is initially probable but the lessee’s credit quality later deteriorates, the net investment in lease is assessed for impairment, and a charge may be recorded.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(“CODM”) is its Chief Executive Officer. Operating segments are defined as components of an entity for which separate financial information is available and that is regularly reviewed by its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reportable segment.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disaggregated general and administrative expenses:</w:t>
      </w:r>
    </w:p>
    <w:tbl>
      <w:tblPr>
        <w:tblW w:w="8490" w:type="dxa"/>
        <w:jc w:val="center"/>
        <w:tblInd w:w="0" w:type="dxa"/>
        <w:tblLayout w:type="fixed"/>
        <w:tblCellMar>
          <w:top w:w="28" w:type="dxa"/>
          <w:left w:w="28" w:type="dxa"/>
          <w:bottom w:w="28" w:type="dxa"/>
          <w:right w:w="28" w:type="dxa"/>
        </w:tblCellMar>
      </w:tblPr>
      <w:tblGrid>
        <w:gridCol w:w="1119"/>
        <w:gridCol w:w="984"/>
        <w:gridCol w:w="986"/>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Operations/network operations</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28,106 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40,596 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90,363 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79,224 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Fluctuations in interest rates subject the Company to interest rate risk. Increases in interest rates subject the Company to the risk of increased interest expense related to its Credit Agreement. The Company may enter into cash flow hedges to help reduce its variable interest rate risk. Interest rate collars are used to hedge the risk associated with rising interest rates and their effect on forecasted interest payments related to variable rate borrowings. These interest rate collars are designated as cash flow hedges and accounted for in accordance with the requirements of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qualify for hedge accounting, a derivative must be highly effective at reducing the risk associated with the exposure being hedged. We assess hedge effectiveness on an ongoing basis using quantitative or qualitative methods to confirm that the collar is highly effective in offsetting changes in the cash flows of the hedged interest payments. The effective portion of changes in the fair value of the interest rate collar (unrealized gains and losses) is recorded as a component of “Accumulated other comprehensive income (loss)” (“AOCI”). Amounts recorded in AOCI are reclassified into interest expense in the period in which the hedged forecasted interest payment affects earnings. </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ASC 815 requires companies to recognize all derivative instruments as either assets or liabilities at fair value in the balance sheet. The fair value of the interest rate collar is based on quoted market prices for similar instruments obtained from commercial banks, utilizing significant observable inputs (Level 2 inputs within the fair value hierarchy). When derivative instruments are used, we are exposed to credit loss in the event of non-performance by the counterparty; however, we do not anticipate non-performance by the counterparty. The amounts included in AOCI will be reclassified to interest expense should the hedge no longer be considered effective or should it become probable that the hedged forecasted transactions will not occur.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Newly Adopted Accounting Standards</w:t>
      </w:r>
    </w:p>
    <w:p>
      <w:pPr>
        <w:pStyle w:val="TextBody"/>
        <w:bidi w:val="0"/>
        <w:spacing w:before="0" w:after="0"/>
        <w:jc w:val="left"/>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In July 2025, the FASB issued ASU 2025-05, ASC Subtopic 326 “</w:t>
      </w:r>
      <w:r>
        <w:rPr>
          <w:rFonts w:ascii="Times New Roman;serif" w:hAnsi="Times New Roman;serif"/>
          <w:b w:val="false"/>
          <w:i/>
          <w:color w:val="000000"/>
          <w:sz w:val="20"/>
        </w:rPr>
        <w:t>Financial Instruments — Credit Losses</w:t>
      </w:r>
      <w:r>
        <w:rPr>
          <w:color w:val="000000"/>
        </w:rPr>
        <w:t xml:space="preserve">” </w:t>
      </w:r>
      <w:r>
        <w:rPr>
          <w:rFonts w:ascii="Times New Roman;serif" w:hAnsi="Times New Roman;serif"/>
          <w:b w:val="false"/>
          <w:color w:val="000000"/>
          <w:sz w:val="20"/>
        </w:rPr>
        <w:t xml:space="preserve">(“ASU 2025-05”), which provides a practical expedient that allows companies to assume that current conditions as of the balance sheet date do not change for the remaining life of the asset. ASU 2025-05 is effective for annual reporting periods beginning after December 15, 2025, and interim reporting periods within annual reporting periods. The Company adopted ASU 2025-05 as of January 1, 2026 and elected to utilize the practical expedient. The adoption of ASU 2025-05 and the election of the practical expedient did not have a material impact on the condensed consolidated financial statements. </w:t>
      </w:r>
    </w:p>
    <w:p>
      <w:pPr>
        <w:pStyle w:val="TextBody"/>
        <w:bidi w:val="0"/>
        <w:spacing w:lineRule="auto" w:line="288" w:before="0" w:after="0"/>
        <w:ind w:left="0" w:right="0" w:firstLine="360"/>
        <w:jc w:val="both"/>
        <w:rPr/>
      </w:pPr>
      <w:r>
        <w:rPr>
          <w:rFonts w:ascii="Times New Roman;serif" w:hAnsi="Times New Roman;serif"/>
          <w:b w:val="false"/>
          <w:color w:val="000000"/>
          <w:sz w:val="20"/>
        </w:rPr>
        <w:t>In September 2025, the FASB issued ASU 2025-06, ASC Subtopic 350 “</w:t>
      </w:r>
      <w:r>
        <w:rPr>
          <w:rFonts w:ascii="Times New Roman;serif" w:hAnsi="Times New Roman;serif"/>
          <w:b w:val="false"/>
          <w:i/>
          <w:color w:val="000000"/>
          <w:sz w:val="20"/>
        </w:rPr>
        <w:t>Intangibles — Goodwill and Other</w:t>
      </w:r>
      <w:r>
        <w:rPr>
          <w:color w:val="000000"/>
        </w:rPr>
        <w:t xml:space="preserve"> — </w:t>
      </w:r>
      <w:r>
        <w:rPr>
          <w:rFonts w:ascii="Times New Roman;serif" w:hAnsi="Times New Roman;serif"/>
          <w:b w:val="false"/>
          <w:i/>
          <w:color w:val="000000"/>
          <w:sz w:val="20"/>
        </w:rPr>
        <w:t>Internal-Use Software</w:t>
      </w:r>
      <w:r>
        <w:rPr>
          <w:color w:val="000000"/>
        </w:rPr>
        <w:t xml:space="preserve">” </w:t>
      </w:r>
      <w:r>
        <w:rPr>
          <w:rFonts w:ascii="Times New Roman;serif" w:hAnsi="Times New Roman;serif"/>
          <w:b w:val="false"/>
          <w:color w:val="000000"/>
          <w:sz w:val="20"/>
        </w:rPr>
        <w:t>(“ASU 2025-06”), which provides targeted improvements to the accounting for internal-use software by eliminating stage-based rules for cost capitalization and replacing them with a principles-based framework aligned with modern software development practices. The update also clarifies the disclosure framework for capitalized software costs and is effective for annual periods beginning after December 15, 2027, with early adoption permitted. The Company early adopted ASU 2025-06 as of January 1, 2026 using the prospective transition approach. The adoption of ASU 2025-06 did not have a material impact on the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 November 2025, the FASB issued ASU 2025-09, ASC Subtopic 815 “</w:t>
      </w:r>
      <w:r>
        <w:rPr>
          <w:rFonts w:ascii="Times New Roman;serif" w:hAnsi="Times New Roman;serif"/>
          <w:b w:val="false"/>
          <w:i/>
          <w:color w:val="000000"/>
          <w:sz w:val="20"/>
        </w:rPr>
        <w:t>Derivatives and Hedging: Hedge Accounting Improvements</w:t>
      </w:r>
      <w:r>
        <w:rPr>
          <w:color w:val="000000"/>
        </w:rPr>
        <w:t xml:space="preserve">” </w:t>
      </w:r>
      <w:r>
        <w:rPr>
          <w:rFonts w:ascii="Times New Roman;serif" w:hAnsi="Times New Roman;serif"/>
          <w:b w:val="false"/>
          <w:color w:val="000000"/>
          <w:sz w:val="20"/>
        </w:rPr>
        <w:t>(“ASU 2025-09”), which amends certain aspects of existing hedge accounting guidance to more closely align with the economics of an entity's risk management activities. The ASU makes targeted improvements to the hedge accounting model under ASC 815, expanding the set of hedging strategies for which entities may achieve and maintain hedge accounting. Among other changes, the ASU broadens the criteria for aggregating individual forecasted transactions in a group cash flow hedge from a requirement that transactions share the same risk exposure to a requirement that they exhibit only a similar risk exposure, and clarifies the application of hedge accounting for variable-rate debt instruments that allow the borrower to change the interest rate index and tenor. The update is effective for annual periods beginning after December 15, 2026, with early adoption permitted. The Company prospectively adopted ASU 2025-09 as of January 1, 2026, in accordance with the transition provisions. The adoption of ASU 2025-09 did not have a material impact on the condensed consolidated financial statements or its existing hedging relationships.</w:t>
      </w:r>
    </w:p>
    <w:p>
      <w:pPr>
        <w:pStyle w:val="TextBody"/>
        <w:bidi w:val="0"/>
        <w:spacing w:before="0" w:after="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In December 2025, the FASB issued ASU 2025-11, ASC Subtopic 270 “</w:t>
      </w:r>
      <w:r>
        <w:rPr>
          <w:rFonts w:ascii="Times New Roman;serif" w:hAnsi="Times New Roman;serif"/>
          <w:b w:val="false"/>
          <w:i/>
          <w:color w:val="000000"/>
          <w:sz w:val="20"/>
        </w:rPr>
        <w:t>Narrow-Scope Improvements</w:t>
      </w:r>
      <w:r>
        <w:rPr>
          <w:color w:val="000000"/>
        </w:rPr>
        <w:t xml:space="preserve">” </w:t>
      </w:r>
      <w:r>
        <w:rPr>
          <w:rFonts w:ascii="Times New Roman;serif" w:hAnsi="Times New Roman;serif"/>
          <w:b w:val="false"/>
          <w:color w:val="000000"/>
          <w:sz w:val="20"/>
        </w:rPr>
        <w:t xml:space="preserve">(“ASU 2025-11”), which clarifies the guidance in Subtopic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2025-11 is effective for interim periods and annual periods beginning after December 15, 2027. The Company early adopted ASU 2025-11 prospectively as of January 1, 2026. The adoption of ASU 2025-11 did not have a significant impact on the interim disclosures in the condensed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0" w:after="240"/>
        <w:ind w:left="0" w:right="0" w:firstLine="360"/>
        <w:jc w:val="both"/>
        <w:rPr/>
      </w:pPr>
      <w:r>
        <w:rPr>
          <w:rFonts w:ascii="Times New Roman;serif" w:hAnsi="Times New Roman;serif"/>
          <w:b w:val="false"/>
          <w:color w:val="000000"/>
          <w:sz w:val="20"/>
        </w:rPr>
        <w:t>In November 2024, the FASB issued ASU 2024-03, ASC Subtopic 220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(“ASU 2024-03”) which requires that, in each interim and annual reporting period, an entity disclose more information about the components of certain expense captions than is currently disclosed in the financial statements. In January 2025, the FASB issued ASU 2025-01, ASC Subtopic 220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(“ASU 2025-01”), which clarified the effective date of ASU 2024-03, in which the amendments in ASU 2024-03 are effective for annual reporting periods beginning after December 15, 2026, and interim reporting periods within annual reporting periods beginning after December 15, 2027. Early adoption is permitted. The Company is currently evaluating this ASU to determine its impact on the Company’s disclosures.</w:t>
      </w:r>
    </w:p>
    <w:p>
      <w:pPr>
        <w:pStyle w:val="TextBody"/>
        <w:bidi w:val="0"/>
        <w:spacing w:lineRule="auto" w:line="288" w:before="0" w:after="240"/>
        <w:ind w:left="0" w:right="0" w:firstLine="360"/>
        <w:jc w:val="both"/>
        <w:rPr/>
      </w:pPr>
      <w:r>
        <w:rPr>
          <w:rFonts w:ascii="Times New Roman;serif" w:hAnsi="Times New Roman;serif"/>
          <w:b w:val="false"/>
          <w:color w:val="000000"/>
          <w:sz w:val="20"/>
        </w:rPr>
        <w:t>In December 2025, the FASB issued ASU 2025-10, ASC Subtopic 832 “</w:t>
      </w:r>
      <w:r>
        <w:rPr>
          <w:rFonts w:ascii="Times New Roman;serif" w:hAnsi="Times New Roman;serif"/>
          <w:b w:val="false"/>
          <w:i/>
          <w:color w:val="000000"/>
          <w:sz w:val="20"/>
        </w:rPr>
        <w:t>Accounting for Government Grants Received by Business Entities</w:t>
      </w:r>
      <w:r>
        <w:rPr>
          <w:color w:val="000000"/>
        </w:rPr>
        <w:t xml:space="preserve">” </w:t>
      </w:r>
      <w:r>
        <w:rPr>
          <w:rFonts w:ascii="Times New Roman;serif" w:hAnsi="Times New Roman;serif"/>
          <w:b w:val="false"/>
          <w:color w:val="000000"/>
          <w:sz w:val="20"/>
        </w:rPr>
        <w:t>(“ASU 2025-10”),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ASU 2025-10 provides specific accounting models for grants related to assets and grants related to income, including options to recognize government grants as deferred income or as a reduction of the asset’s cost basis. ASU 2025-10 also requires enhanced disclosures regarding the nature of government grants, significant terms and conditions, accounting policies applied, and amounts recognized in the financial statements. The effective date for public companies is fiscal years beginning after December 15, 2028, including interim periods within those annual periods. The Company is currently evaluating the effect that the adoption of this ASU will have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3 — Revenue Recognition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revenue by our categories indicated for the dates below:</w:t>
      </w:r>
    </w:p>
    <w:tbl>
      <w:tblPr>
        <w:tblW w:w="7800" w:type="dxa"/>
        <w:jc w:val="center"/>
        <w:tblInd w:w="0" w:type="dxa"/>
        <w:tblLayout w:type="fixed"/>
        <w:tblCellMar>
          <w:top w:w="28" w:type="dxa"/>
          <w:left w:w="28" w:type="dxa"/>
          <w:bottom w:w="28" w:type="dxa"/>
          <w:right w:w="28" w:type="dxa"/>
        </w:tblCellMar>
      </w:tblPr>
      <w:tblGrid>
        <w:gridCol w:w="870"/>
        <w:gridCol w:w="763"/>
        <w:gridCol w:w="76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retail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OEM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credit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Network, OEM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charging network</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non-charging network</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liabilities from contracts with customers:</w:t>
      </w:r>
    </w:p>
    <w:tbl>
      <w:tblPr>
        <w:tblW w:w="7151" w:type="dxa"/>
        <w:jc w:val="left"/>
        <w:tblInd w:w="0" w:type="dxa"/>
        <w:tblLayout w:type="fixed"/>
        <w:tblCellMar>
          <w:top w:w="28" w:type="dxa"/>
          <w:left w:w="28" w:type="dxa"/>
          <w:bottom w:w="28" w:type="dxa"/>
          <w:right w:w="28" w:type="dxa"/>
        </w:tblCellMar>
      </w:tblPr>
      <w:tblGrid>
        <w:gridCol w:w="597"/>
        <w:gridCol w:w="525"/>
        <w:gridCol w:w="527"/>
        <w:gridCol w:w="228"/>
        <w:gridCol w:w="779"/>
        <w:gridCol w:w="117"/>
        <w:gridCol w:w="109"/>
        <w:gridCol w:w="109"/>
        <w:gridCol w:w="109"/>
        <w:gridCol w:w="276"/>
        <w:gridCol w:w="1081"/>
        <w:gridCol w:w="142"/>
        <w:gridCol w:w="109"/>
        <w:gridCol w:w="109"/>
        <w:gridCol w:w="109"/>
        <w:gridCol w:w="211"/>
        <w:gridCol w:w="796"/>
        <w:gridCol w:w="109"/>
        <w:gridCol w:w="109"/>
        <w:gridCol w:w="109"/>
        <w:gridCol w:w="109"/>
        <w:gridCol w:w="233"/>
        <w:gridCol w:w="233"/>
        <w:gridCol w:w="316"/>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7,293 </w:t>
            </w:r>
          </w:p>
        </w:tc>
        <w:tc>
          <w:tcPr>
            <w:tcW w:w="1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4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balance of contract assets is driven by the difference in timing of when revenue is recognized from performance obligations satisfied in the current reporting period and when amounts are invoiced to the customer. The balance of contract liabilities is driven by the difference in timing between when cash is received pursuant to a contract and when the Company’s performance obligations under the contract are satisfied.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activity for the contract liabilities recognized:</w:t>
      </w:r>
    </w:p>
    <w:p>
      <w:pPr>
        <w:pStyle w:val="TextBody"/>
        <w:bidi w:val="0"/>
        <w:spacing w:before="0" w:after="0"/>
        <w:jc w:val="left"/>
        <w:rPr/>
      </w:pPr>
      <w:r>
        <w:rPr/>
      </w:r>
    </w:p>
    <w:tbl>
      <w:tblPr>
        <w:tblW w:w="3185" w:type="dxa"/>
        <w:jc w:val="left"/>
        <w:tblInd w:w="0" w:type="dxa"/>
        <w:tblLayout w:type="fixed"/>
        <w:tblCellMar>
          <w:top w:w="28" w:type="dxa"/>
          <w:left w:w="28" w:type="dxa"/>
          <w:bottom w:w="28" w:type="dxa"/>
          <w:right w:w="28" w:type="dxa"/>
        </w:tblCellMar>
      </w:tblPr>
      <w:tblGrid>
        <w:gridCol w:w="722"/>
        <w:gridCol w:w="635"/>
        <w:gridCol w:w="637"/>
        <w:gridCol w:w="211"/>
        <w:gridCol w:w="82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102,771 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in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include the following:</w:t>
      </w:r>
    </w:p>
    <w:tbl>
      <w:tblPr>
        <w:tblW w:w="10205" w:type="dxa"/>
        <w:jc w:val="center"/>
        <w:tblInd w:w="0" w:type="dxa"/>
        <w:tblLayout w:type="fixed"/>
        <w:tblCellMar>
          <w:top w:w="28" w:type="dxa"/>
          <w:left w:w="28" w:type="dxa"/>
          <w:bottom w:w="28" w:type="dxa"/>
          <w:right w:w="28" w:type="dxa"/>
        </w:tblCellMar>
      </w:tblPr>
      <w:tblGrid>
        <w:gridCol w:w="1914"/>
        <w:gridCol w:w="1632"/>
        <w:gridCol w:w="1630"/>
        <w:gridCol w:w="215"/>
        <w:gridCol w:w="629"/>
        <w:gridCol w:w="111"/>
        <w:gridCol w:w="111"/>
        <w:gridCol w:w="111"/>
        <w:gridCol w:w="111"/>
        <w:gridCol w:w="215"/>
        <w:gridCol w:w="629"/>
        <w:gridCol w:w="111"/>
        <w:gridCol w:w="109"/>
        <w:gridCol w:w="109"/>
        <w:gridCol w:w="109"/>
        <w:gridCol w:w="211"/>
        <w:gridCol w:w="721"/>
        <w:gridCol w:w="109"/>
        <w:gridCol w:w="109"/>
        <w:gridCol w:w="109"/>
        <w:gridCol w:w="109"/>
        <w:gridCol w:w="211"/>
        <w:gridCol w:w="721"/>
        <w:gridCol w:w="159"/>
      </w:tblGrid>
      <w:tr>
        <w:trPr/>
        <w:tc>
          <w:tcPr>
            <w:tcW w:w="191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included in the beginning of period contract liabilities balance</w:t>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20,115 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associated with performance obligations satisfied in previous periods</w:t>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anticipated that deferred revenue as of June 30, 2026 will be recognized in the following periods ending December 31:</w:t>
      </w:r>
    </w:p>
    <w:tbl>
      <w:tblPr>
        <w:tblW w:w="2210" w:type="dxa"/>
        <w:jc w:val="left"/>
        <w:tblInd w:w="0" w:type="dxa"/>
        <w:tblLayout w:type="fixed"/>
        <w:tblCellMar>
          <w:top w:w="28" w:type="dxa"/>
          <w:left w:w="28" w:type="dxa"/>
          <w:bottom w:w="28" w:type="dxa"/>
          <w:right w:w="28" w:type="dxa"/>
        </w:tblCellMar>
      </w:tblPr>
      <w:tblGrid>
        <w:gridCol w:w="407"/>
        <w:gridCol w:w="358"/>
        <w:gridCol w:w="35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$16.5 million in consideration received for charging credits, for which the timing of revenue recognition is uncertain. The Company expects to recognize revenue for these amounts as customers use their charging credits over the next 2.5 years.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606 does not require disclosure of the transaction price to remaining performance obligations if the contract contains variable consideration allocated entirely to a wholly unsatisfied performance obligation. Under many customer contracts, each unit of product represents a separate performance obligation and therefore future volumes are wholly unsatisfied and thus disclosure of the transaction price allocated to a wholly unsatisfied performance obligation is not required. Under these contracts, variability arises as both volume and pricing are not known until the product is delivered. As of June 30, 2026 and December 31, 2025, there was $18.4 million and $19.3 million, respectively, in variable consideration for wholly unsatisfied performance obligations, which is included in deferred revenue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4 — Lease Accounting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Lessee Accounting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agreements with Site Hosts, which allow the Company to operate charging stations on the Site Hosts’ property. Additionally, the Company leases offices, a warehouse and laboratory space under agreements with third-party landlords. The agreements with the Site Hosts and landlords are deemed to be operating leases. Original lease terms generally range from one to 15 years, and most leases contain renewal options that can extend the term for at least five years and certain leases have renewal options for up to an additional 30 years. The Company has not entered into any finance leases.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estimated operating lease commitments of $68.4 million for leases where the Company has not yet taken possession of the underlying asset as of June 30, 2026. As such, the related operating lease ROU assets and operating lease liabilities have not been recognized in the Company’s condensed consolidated balance sheets as of June 30, 2026.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lease costs consisted of the following:</w:t>
      </w:r>
    </w:p>
    <w:p>
      <w:pPr>
        <w:pStyle w:val="TextBody"/>
        <w:bidi w:val="0"/>
        <w:spacing w:before="0" w:after="0"/>
        <w:jc w:val="right"/>
        <w:rPr/>
      </w:pPr>
      <w:r>
        <w:rPr/>
      </w:r>
    </w:p>
    <w:tbl>
      <w:tblPr>
        <w:tblW w:w="8373" w:type="dxa"/>
        <w:jc w:val="center"/>
        <w:tblInd w:w="0" w:type="dxa"/>
        <w:tblLayout w:type="fixed"/>
        <w:tblCellMar>
          <w:top w:w="28" w:type="dxa"/>
          <w:left w:w="28" w:type="dxa"/>
          <w:bottom w:w="28" w:type="dxa"/>
          <w:right w:w="28" w:type="dxa"/>
        </w:tblCellMar>
      </w:tblPr>
      <w:tblGrid>
        <w:gridCol w:w="1206"/>
        <w:gridCol w:w="1061"/>
        <w:gridCol w:w="1063"/>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9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network cost of sales</w:t>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network cost of sales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and variable lease costs</w:t>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10,142 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maturities of operating lease liabilities for the periods ending December 31, were as follows:</w:t>
      </w:r>
    </w:p>
    <w:tbl>
      <w:tblPr>
        <w:tblW w:w="5000" w:type="dxa"/>
        <w:jc w:val="left"/>
        <w:tblInd w:w="0" w:type="dxa"/>
        <w:tblLayout w:type="fixed"/>
        <w:tblCellMar>
          <w:top w:w="28" w:type="dxa"/>
          <w:left w:w="28" w:type="dxa"/>
          <w:bottom w:w="28" w:type="dxa"/>
          <w:right w:w="28" w:type="dxa"/>
        </w:tblCellMar>
      </w:tblPr>
      <w:tblGrid>
        <w:gridCol w:w="1617"/>
        <w:gridCol w:w="1094"/>
        <w:gridCol w:w="1098"/>
        <w:gridCol w:w="211"/>
        <w:gridCol w:w="826"/>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190,495 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discounted operating lease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118,305 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supplemental and cash flow information consisted of the following:</w:t>
      </w:r>
    </w:p>
    <w:tbl>
      <w:tblPr>
        <w:tblW w:w="9107" w:type="dxa"/>
        <w:jc w:val="left"/>
        <w:tblInd w:w="0" w:type="dxa"/>
        <w:tblLayout w:type="fixed"/>
        <w:tblCellMar>
          <w:top w:w="28" w:type="dxa"/>
          <w:left w:w="28" w:type="dxa"/>
          <w:bottom w:w="28" w:type="dxa"/>
          <w:right w:w="28" w:type="dxa"/>
        </w:tblCellMar>
      </w:tblPr>
      <w:tblGrid>
        <w:gridCol w:w="2291"/>
        <w:gridCol w:w="2015"/>
        <w:gridCol w:w="2023"/>
        <w:gridCol w:w="211"/>
        <w:gridCol w:w="721"/>
        <w:gridCol w:w="271"/>
        <w:gridCol w:w="109"/>
        <w:gridCol w:w="109"/>
        <w:gridCol w:w="109"/>
        <w:gridCol w:w="211"/>
        <w:gridCol w:w="721"/>
        <w:gridCol w:w="316"/>
      </w:tblGrid>
      <w:tr>
        <w:trPr/>
        <w:tc>
          <w:tcPr>
            <w:tcW w:w="2291"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20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Lessor Accounting</w:t>
      </w:r>
    </w:p>
    <w:p>
      <w:pPr>
        <w:pStyle w:val="TextBody"/>
        <w:bidi w:val="0"/>
        <w:spacing w:lineRule="auto" w:line="288" w:before="24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charging equipment, charging stations and other technical installations, and subleases properties leased from Site Hosts to third parties. Initial lease terms are generally one to 10 years and may contain renewal options. For operating leases, the underlying asset is carried at its carrying value as property and equipment, net, or included in operating lease ROU assets on the condensed consolidated balance sheets.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 income consisted of the following components:</w:t>
      </w:r>
    </w:p>
    <w:p>
      <w:pPr>
        <w:pStyle w:val="TextBody"/>
        <w:bidi w:val="0"/>
        <w:spacing w:before="0" w:after="0"/>
        <w:jc w:val="both"/>
        <w:rPr/>
      </w:pPr>
      <w:r>
        <w:rPr/>
      </w:r>
    </w:p>
    <w:tbl>
      <w:tblPr>
        <w:tblW w:w="7022" w:type="dxa"/>
        <w:jc w:val="center"/>
        <w:tblInd w:w="0" w:type="dxa"/>
        <w:tblLayout w:type="fixed"/>
        <w:tblCellMar>
          <w:top w:w="28" w:type="dxa"/>
          <w:left w:w="28" w:type="dxa"/>
          <w:bottom w:w="28" w:type="dxa"/>
          <w:right w:w="28" w:type="dxa"/>
        </w:tblCellMar>
      </w:tblPr>
      <w:tblGrid>
        <w:gridCol w:w="793"/>
        <w:gridCol w:w="697"/>
        <w:gridCol w:w="699"/>
        <w:gridCol w:w="233"/>
        <w:gridCol w:w="515"/>
        <w:gridCol w:w="120"/>
        <w:gridCol w:w="120"/>
        <w:gridCol w:w="120"/>
        <w:gridCol w:w="120"/>
        <w:gridCol w:w="233"/>
        <w:gridCol w:w="681"/>
        <w:gridCol w:w="120"/>
        <w:gridCol w:w="109"/>
        <w:gridCol w:w="109"/>
        <w:gridCol w:w="109"/>
        <w:gridCol w:w="211"/>
        <w:gridCol w:w="616"/>
        <w:gridCol w:w="109"/>
        <w:gridCol w:w="109"/>
        <w:gridCol w:w="109"/>
        <w:gridCol w:w="109"/>
        <w:gridCol w:w="211"/>
        <w:gridCol w:w="61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6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 and ancillary revenue</w:t>
            </w:r>
          </w:p>
        </w:tc>
        <w:tc>
          <w:tcPr>
            <w:tcW w:w="8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2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future minimum rental payments due to the Company as lessor under operating leases (including subleases) for the periods ending December 31, were as follows:</w:t>
      </w:r>
    </w:p>
    <w:tbl>
      <w:tblPr>
        <w:tblW w:w="2210" w:type="dxa"/>
        <w:jc w:val="left"/>
        <w:tblInd w:w="0" w:type="dxa"/>
        <w:tblLayout w:type="fixed"/>
        <w:tblCellMar>
          <w:top w:w="28" w:type="dxa"/>
          <w:left w:w="28" w:type="dxa"/>
          <w:bottom w:w="28" w:type="dxa"/>
          <w:right w:w="28" w:type="dxa"/>
        </w:tblCellMar>
      </w:tblPr>
      <w:tblGrid>
        <w:gridCol w:w="407"/>
        <w:gridCol w:w="358"/>
        <w:gridCol w:w="35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charging stations and subleased host sites leased to third parties under operating leases, which are included within the Company’s property and equipment, net, and operating lease ROU assets were as follows as of:</w:t>
      </w:r>
    </w:p>
    <w:tbl>
      <w:tblPr>
        <w:tblW w:w="5412" w:type="dxa"/>
        <w:jc w:val="left"/>
        <w:tblInd w:w="0" w:type="dxa"/>
        <w:tblLayout w:type="fixed"/>
        <w:tblCellMar>
          <w:top w:w="28" w:type="dxa"/>
          <w:left w:w="28" w:type="dxa"/>
          <w:bottom w:w="28" w:type="dxa"/>
          <w:right w:w="28" w:type="dxa"/>
        </w:tblCellMar>
      </w:tblPr>
      <w:tblGrid>
        <w:gridCol w:w="875"/>
        <w:gridCol w:w="769"/>
        <w:gridCol w:w="771"/>
        <w:gridCol w:w="253"/>
        <w:gridCol w:w="741"/>
        <w:gridCol w:w="131"/>
        <w:gridCol w:w="109"/>
        <w:gridCol w:w="109"/>
        <w:gridCol w:w="109"/>
        <w:gridCol w:w="300"/>
        <w:gridCol w:w="1026"/>
        <w:gridCol w:w="219"/>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stations</w:t>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13,018 </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Sales-Type Leases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sales-type leases with third-parties for charging stations. The following table presents amounts included in the condensed consolidated statements of operations related to income generated from sales-type leases:</w:t>
      </w:r>
    </w:p>
    <w:tbl>
      <w:tblPr>
        <w:tblW w:w="6528" w:type="dxa"/>
        <w:jc w:val="left"/>
        <w:tblInd w:w="0" w:type="dxa"/>
        <w:tblLayout w:type="fixed"/>
        <w:tblCellMar>
          <w:top w:w="28" w:type="dxa"/>
          <w:left w:w="28" w:type="dxa"/>
          <w:bottom w:w="28" w:type="dxa"/>
          <w:right w:w="28" w:type="dxa"/>
        </w:tblCellMar>
      </w:tblPr>
      <w:tblGrid>
        <w:gridCol w:w="576"/>
        <w:gridCol w:w="506"/>
        <w:gridCol w:w="508"/>
        <w:gridCol w:w="236"/>
        <w:gridCol w:w="489"/>
        <w:gridCol w:w="122"/>
        <w:gridCol w:w="122"/>
        <w:gridCol w:w="122"/>
        <w:gridCol w:w="122"/>
        <w:gridCol w:w="236"/>
        <w:gridCol w:w="691"/>
        <w:gridCol w:w="122"/>
        <w:gridCol w:w="109"/>
        <w:gridCol w:w="109"/>
        <w:gridCol w:w="109"/>
        <w:gridCol w:w="211"/>
        <w:gridCol w:w="721"/>
        <w:gridCol w:w="109"/>
        <w:gridCol w:w="109"/>
        <w:gridCol w:w="109"/>
        <w:gridCol w:w="109"/>
        <w:gridCol w:w="211"/>
        <w:gridCol w:w="616"/>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w:t>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2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Minimum discounted lease payments due under sales-type leases were as follows as of June 30, 2026 for the periods ending December 31:</w:t>
      </w:r>
    </w:p>
    <w:tbl>
      <w:tblPr>
        <w:tblW w:w="4551" w:type="dxa"/>
        <w:jc w:val="left"/>
        <w:tblInd w:w="0" w:type="dxa"/>
        <w:tblLayout w:type="fixed"/>
        <w:tblCellMar>
          <w:top w:w="28" w:type="dxa"/>
          <w:left w:w="28" w:type="dxa"/>
          <w:bottom w:w="28" w:type="dxa"/>
          <w:right w:w="28" w:type="dxa"/>
        </w:tblCellMar>
      </w:tblPr>
      <w:tblGrid>
        <w:gridCol w:w="1255"/>
        <w:gridCol w:w="1103"/>
        <w:gridCol w:w="1107"/>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sales-type lease payments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17,816 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investment in sales-type leases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amounts included in the condensed consolidated balance sheets related to sales-type leases:</w:t>
      </w:r>
    </w:p>
    <w:tbl>
      <w:tblPr>
        <w:tblW w:w="4154" w:type="dxa"/>
        <w:jc w:val="left"/>
        <w:tblInd w:w="0" w:type="dxa"/>
        <w:tblLayout w:type="fixed"/>
        <w:tblCellMar>
          <w:top w:w="28" w:type="dxa"/>
          <w:left w:w="28" w:type="dxa"/>
          <w:bottom w:w="28" w:type="dxa"/>
          <w:right w:w="28" w:type="dxa"/>
        </w:tblCellMar>
      </w:tblPr>
      <w:tblGrid>
        <w:gridCol w:w="1081"/>
        <w:gridCol w:w="950"/>
        <w:gridCol w:w="953"/>
        <w:gridCol w:w="227"/>
        <w:gridCol w:w="777"/>
        <w:gridCol w:w="166"/>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lease, current</w:t>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lease, noncurrent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sales-type lease assets</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derecognized $0.1 million of leased assets and recognized no net investment in leases under sales-type lease arrangements. No impairments of net investment in lease were recognized during the three months ended June 30, 2026. During the six months ended June 30, 2026, the Company derecognized $12.9 million of leased assets and recognized net investment in lease of $17.2 million under sales-type lease arrangements. No impairments of net investment in lease were recognized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5 — Property, Equipment and Software, Net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w:t>
      </w:r>
    </w:p>
    <w:tbl>
      <w:tblPr>
        <w:tblW w:w="7127" w:type="dxa"/>
        <w:jc w:val="left"/>
        <w:tblInd w:w="0" w:type="dxa"/>
        <w:tblLayout w:type="fixed"/>
        <w:tblCellMar>
          <w:top w:w="28" w:type="dxa"/>
          <w:left w:w="28" w:type="dxa"/>
          <w:bottom w:w="28" w:type="dxa"/>
          <w:right w:w="28" w:type="dxa"/>
        </w:tblCellMar>
      </w:tblPr>
      <w:tblGrid>
        <w:gridCol w:w="1489"/>
        <w:gridCol w:w="1309"/>
        <w:gridCol w:w="1312"/>
        <w:gridCol w:w="211"/>
        <w:gridCol w:w="826"/>
        <w:gridCol w:w="109"/>
        <w:gridCol w:w="109"/>
        <w:gridCol w:w="109"/>
        <w:gridCol w:w="109"/>
        <w:gridCol w:w="273"/>
        <w:gridCol w:w="1072"/>
        <w:gridCol w:w="199"/>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stations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562,668 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545,655 </w:t>
            </w:r>
          </w:p>
        </w:tc>
        <w:tc>
          <w:tcPr>
            <w:tcW w:w="19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101,737 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vehicles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726,354 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677,423 </w:t>
            </w:r>
          </w:p>
        </w:tc>
        <w:tc>
          <w:tcPr>
            <w:tcW w:w="19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216,676 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469,281 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460,747 </w:t>
            </w:r>
          </w:p>
        </w:tc>
        <w:tc>
          <w:tcPr>
            <w:tcW w:w="19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amortization, impairment expense and loss on disposal of property and equipment, net of insurance recoveries, consisted of the following:</w:t>
      </w:r>
    </w:p>
    <w:tbl>
      <w:tblPr>
        <w:tblW w:w="10205" w:type="dxa"/>
        <w:jc w:val="center"/>
        <w:tblInd w:w="0" w:type="dxa"/>
        <w:tblLayout w:type="fixed"/>
        <w:tblCellMar>
          <w:top w:w="28" w:type="dxa"/>
          <w:left w:w="28" w:type="dxa"/>
          <w:bottom w:w="28" w:type="dxa"/>
          <w:right w:w="28" w:type="dxa"/>
        </w:tblCellMar>
      </w:tblPr>
      <w:tblGrid>
        <w:gridCol w:w="1832"/>
        <w:gridCol w:w="1582"/>
        <w:gridCol w:w="160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3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capital-build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and equipment, net of insurance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22,996 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44,641 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37,856 </w:t>
            </w:r>
          </w:p>
        </w:tc>
        <w:tc>
          <w:tcPr>
            <w:tcW w:w="15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property, equipment and software, net, included $286.0 million and $267.7 million of assets pledged as collateral, respectively with $19.0 million and $16.9 million of associated asset retirement obligations, respectively, related to the DOE Loan and Credit Agreement (See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6 — Intangible Assets, Net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net and excluding fully amortized assets, consisted of the following as of June 30, 2026:</w:t>
      </w:r>
    </w:p>
    <w:tbl>
      <w:tblPr>
        <w:tblW w:w="10205" w:type="dxa"/>
        <w:jc w:val="left"/>
        <w:tblInd w:w="0" w:type="dxa"/>
        <w:tblLayout w:type="fixed"/>
        <w:tblCellMar>
          <w:top w:w="28" w:type="dxa"/>
          <w:left w:w="28" w:type="dxa"/>
          <w:bottom w:w="28" w:type="dxa"/>
          <w:right w:w="28" w:type="dxa"/>
        </w:tblCellMar>
      </w:tblPr>
      <w:tblGrid>
        <w:gridCol w:w="676"/>
        <w:gridCol w:w="595"/>
        <w:gridCol w:w="601"/>
        <w:gridCol w:w="357"/>
        <w:gridCol w:w="1223"/>
        <w:gridCol w:w="184"/>
        <w:gridCol w:w="109"/>
        <w:gridCol w:w="109"/>
        <w:gridCol w:w="109"/>
        <w:gridCol w:w="367"/>
        <w:gridCol w:w="1382"/>
        <w:gridCol w:w="189"/>
        <w:gridCol w:w="109"/>
        <w:gridCol w:w="109"/>
        <w:gridCol w:w="109"/>
        <w:gridCol w:w="299"/>
        <w:gridCol w:w="1024"/>
        <w:gridCol w:w="154"/>
        <w:gridCol w:w="109"/>
        <w:gridCol w:w="109"/>
        <w:gridCol w:w="109"/>
        <w:gridCol w:w="633"/>
        <w:gridCol w:w="633"/>
        <w:gridCol w:w="907"/>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Remaining Weighted Average</w:t>
              <w:br/>
              <w:t>Amortization Period</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Site Host relationships</w:t>
            </w:r>
          </w:p>
        </w:tc>
        <w:tc>
          <w:tcPr>
            <w:tcW w:w="3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41,500 </w:t>
            </w:r>
          </w:p>
        </w:tc>
        <w:tc>
          <w:tcPr>
            <w:tcW w:w="18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(22,340)</w:t>
            </w:r>
          </w:p>
        </w:tc>
        <w:tc>
          <w:tcPr>
            <w:tcW w:w="18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years</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years</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years</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60,500 </w:t>
            </w:r>
          </w:p>
        </w:tc>
        <w:tc>
          <w:tcPr>
            <w:tcW w:w="18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(30,469)</w:t>
            </w:r>
          </w:p>
        </w:tc>
        <w:tc>
          <w:tcPr>
            <w:tcW w:w="18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30,031 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net and excluding fully amortized assets, consisted of the following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6"/>
        <w:gridCol w:w="595"/>
        <w:gridCol w:w="601"/>
        <w:gridCol w:w="357"/>
        <w:gridCol w:w="1223"/>
        <w:gridCol w:w="184"/>
        <w:gridCol w:w="109"/>
        <w:gridCol w:w="109"/>
        <w:gridCol w:w="109"/>
        <w:gridCol w:w="367"/>
        <w:gridCol w:w="1382"/>
        <w:gridCol w:w="189"/>
        <w:gridCol w:w="109"/>
        <w:gridCol w:w="109"/>
        <w:gridCol w:w="109"/>
        <w:gridCol w:w="299"/>
        <w:gridCol w:w="1024"/>
        <w:gridCol w:w="154"/>
        <w:gridCol w:w="109"/>
        <w:gridCol w:w="109"/>
        <w:gridCol w:w="109"/>
        <w:gridCol w:w="633"/>
        <w:gridCol w:w="633"/>
        <w:gridCol w:w="907"/>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Remaining Weighted Average</w:t>
              <w:br/>
              <w:t>Amortization Period</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Site Host relationships</w:t>
            </w:r>
          </w:p>
        </w:tc>
        <w:tc>
          <w:tcPr>
            <w:tcW w:w="3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41,500 </w:t>
            </w:r>
          </w:p>
        </w:tc>
        <w:tc>
          <w:tcPr>
            <w:tcW w:w="18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(20,611)</w:t>
            </w:r>
          </w:p>
        </w:tc>
        <w:tc>
          <w:tcPr>
            <w:tcW w:w="18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years</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years</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years</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60,500 </w:t>
            </w:r>
          </w:p>
        </w:tc>
        <w:tc>
          <w:tcPr>
            <w:tcW w:w="18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(28,079)</w:t>
            </w:r>
          </w:p>
        </w:tc>
        <w:tc>
          <w:tcPr>
            <w:tcW w:w="18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32,421 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$1.2 million and $1.9 million for the three months ended June 30, 2026 and 2025, respectively. Amortization of intangible assets was $2.4 million and $3.9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7 — Asset Retirement Obligations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retirement obligations represent the present value of the estimated costs to remove the charging stations and other equipment and restore the sites to the condition prior to installation. The Company reviews estimates of removal costs on an ongoing basis. Asset retirement obligation activity was as follows:</w:t>
      </w:r>
    </w:p>
    <w:tbl>
      <w:tblPr>
        <w:tblW w:w="2850" w:type="dxa"/>
        <w:jc w:val="center"/>
        <w:tblInd w:w="0" w:type="dxa"/>
        <w:tblLayout w:type="fixed"/>
        <w:tblCellMar>
          <w:top w:w="28" w:type="dxa"/>
          <w:left w:w="28" w:type="dxa"/>
          <w:bottom w:w="28" w:type="dxa"/>
          <w:right w:w="28" w:type="dxa"/>
        </w:tblCellMar>
      </w:tblPr>
      <w:tblGrid>
        <w:gridCol w:w="608"/>
        <w:gridCol w:w="535"/>
        <w:gridCol w:w="537"/>
        <w:gridCol w:w="227"/>
        <w:gridCol w:w="777"/>
        <w:gridCol w:w="16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30,868 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33,411 </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8 — Long-Term Debt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payments due on long-term debt for the periods ending December 31, were as follows:</w:t>
      </w:r>
    </w:p>
    <w:tbl>
      <w:tblPr>
        <w:tblW w:w="2571" w:type="dxa"/>
        <w:jc w:val="left"/>
        <w:tblInd w:w="0" w:type="dxa"/>
        <w:tblLayout w:type="fixed"/>
        <w:tblCellMar>
          <w:top w:w="28" w:type="dxa"/>
          <w:left w:w="28" w:type="dxa"/>
          <w:bottom w:w="28" w:type="dxa"/>
          <w:right w:w="28" w:type="dxa"/>
        </w:tblCellMar>
      </w:tblPr>
      <w:tblGrid>
        <w:gridCol w:w="500"/>
        <w:gridCol w:w="439"/>
        <w:gridCol w:w="441"/>
        <w:gridCol w:w="211"/>
        <w:gridCol w:w="82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297,250 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debt issuance costs, net of capitalized interest, is included in interest expense in the condensed consolidated statements of operations for the three and six months ended June 30, 2026 and 2025. As of June 30, 2026 and December 31, 2025, $19.2 million and $28.6 million, respectively, in deferred issuance costs was included in prepaids and other current assets and other assets on the condensed consolidated balance sheets in connection with the DOE Loan and the Credit Agreement, which are defined below.</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interest expense, before capitalization, related to the Company’s long-term debt consisted of the following:</w:t>
      </w:r>
    </w:p>
    <w:tbl>
      <w:tblPr>
        <w:tblW w:w="8642" w:type="dxa"/>
        <w:jc w:val="center"/>
        <w:tblInd w:w="0" w:type="dxa"/>
        <w:tblLayout w:type="fixed"/>
        <w:tblCellMar>
          <w:top w:w="28" w:type="dxa"/>
          <w:left w:w="28" w:type="dxa"/>
          <w:bottom w:w="28" w:type="dxa"/>
          <w:right w:w="28" w:type="dxa"/>
        </w:tblCellMar>
      </w:tblPr>
      <w:tblGrid>
        <w:gridCol w:w="1341"/>
        <w:gridCol w:w="1178"/>
        <w:gridCol w:w="1185"/>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616"/>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 and paid-in-kind</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before capitalization</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40"/>
        <w:ind w:left="0" w:right="0" w:firstLine="360"/>
        <w:jc w:val="both"/>
        <w:rPr/>
      </w:pPr>
      <w:r>
        <w:rPr>
          <w:rFonts w:ascii="Times New Roman;serif" w:hAnsi="Times New Roman;serif"/>
          <w:b w:val="false"/>
          <w:color w:val="000000"/>
          <w:sz w:val="20"/>
        </w:rPr>
        <w:t>During the three months ended June 30, 2026 and 2025, the Company capitalized $1.0 million and $0.8 million of amortization and interest expense to property and equipment related to the Company’s long-term debt. During the six months ended June 30, 2026 and 2025, the Company capitalized $2.1 million</w:t>
      </w:r>
      <w:r>
        <w:rPr>
          <w:color w:val="000000"/>
        </w:rPr>
        <w:t xml:space="preserve"> </w:t>
      </w:r>
      <w:r>
        <w:rPr>
          <w:rFonts w:ascii="Times New Roman;serif" w:hAnsi="Times New Roman;serif"/>
          <w:b w:val="false"/>
          <w:color w:val="000000"/>
          <w:sz w:val="20"/>
        </w:rPr>
        <w:t xml:space="preserve">and $1.6 million of amortization and interest expense to property and equipment related to the Company's long-term debt.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DOE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12, 2024, EVgo Swift Borrower LLC (“Swift Borrower”), a Delaware limited liability company and subsidiary of the Company, entered into a guarantee agreement with the DOE as guarantor (as amended on April 29, 2026 pursuant to the First Omnibus Amendment Agreement, the “Guarantee Agreement”) for a term loan facility entered into by Swift Borrower with the Federal Financing Bank (“FFB”) (the “DOE Loan”). The DOE Loan provides that Swift Borrower may draw on the DOE Loan, each such draw, an Advance, at any time during the Availability Period. Advances under the DOE Loan are subject to the satisfaction of customary conditions, including certification of compliance with the loan documents and specified legal requirements and the ongoing accuracy of representations and warranties. </w:t>
      </w:r>
    </w:p>
    <w:p>
      <w:pPr>
        <w:pStyle w:val="TextBody"/>
        <w:bidi w:val="0"/>
        <w:spacing w:before="0" w:after="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All proceeds from the DOE Loan will be used to reimburse us for an amount equal to 80%</w:t>
      </w:r>
      <w:r>
        <w:rPr>
          <w:color w:val="000000"/>
        </w:rPr>
        <w:t xml:space="preserve"> </w:t>
      </w:r>
      <w:r>
        <w:rPr>
          <w:rFonts w:ascii="Times New Roman;serif" w:hAnsi="Times New Roman;serif"/>
          <w:b w:val="false"/>
          <w:color w:val="000000"/>
          <w:sz w:val="20"/>
        </w:rPr>
        <w:t>of the aggregate of all Eligible Project Costs (as such term is defined in the Guarantee Agreement) of assets held by Swift Borrower (subject to certain regulatory and contractual requirements), subject to the overall project leverage ratio cap of 65% being reached, after which Swift Borrower will borrow and reimburse Sponsor at the 65% ratio until the end of the Availability Period. At the closing of the DOE Loan, we contributed 1,594 DC Stalls from our existing public network to Swift Borrower as collateral and we may be required to contribute additional DC Stalls or cash to Swift Borrower from time to time. We, through our subsidiary, EVgo Services, will provide charge point operator services to Swift Borrower for the duration of the DOE Loan. Cash received from revenues generated from the contributed DC Stalls is restricted to ensure that we have sufficient funds to keep the contributed stations operational and make our required debt service and fee payments.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DOE Loan matures on January 7, 2042. Beginning on March 15, 2030 and March 15, 2032, Swift Borrower will be required to make quarterly payments of interest and principal, respectively, to the FFB. Interest rates are fixed at the applicable long-dated U.S. Treasury rate plus a combined liquidity spread and risk-based charge of approximately 1.2% in the aggregate, and accrued interest is capitalized until the end of the Availability Period. Subject to certain conditions, including the existence of no events of default, Swift Borrower may voluntarily prepay any or all of the principal outstanding under the DOE Loan. Additionally, in the event of a Mandatory Prepayment Event (as defined in the Guarantee Agreement), Swift Borrower shall be required to prepay certain amounts outstanding under the DOE Loan. Swift Borrower’s obligations to the DOE and FFB under the DOE Loan are secured by a first priority security interest (subject to customary exceptions and permitted liens) in, among other things, the assets of Swift Borrower and the equity interests of Swift Borrower.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Guarantee Agreement contains customary representations and warranties as well as affirmative and negative covenants (including restrictions on Swift Borrower making distributions to affiliates). The Guarantee Agreement also contains customary events of default including failure to make payments when due, failure to maintain the required debt service coverage ratio, the occurrence of a Change of Control (as defined in the Guarantee Agreement) or other breaches under the Guarantee Agreement. If an event of default occurs, the DOE has certain rights and may, among other options and in its discretion, assess fees and penalties, enforce the collateral, and declare all amounts under the DOE Loan payable immediately in full.</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under the DOE Loan was $226.1 million, which includes $10.3 million in paid-in-kind interest. As of June 30, 2026, Swift Borrower had $409.0 million of principal remaining available to borrow under the DOE Loan, subject to the satisfaction of conditions contained in the Guarantee Agreement. As of December 31, 2025, the outstanding balance under the DOE Loan was $140.6 million, which includes $5.6 million in paid-in-kind interest. As of December 31, 2025, Swift Borrower had $919.3 million of principal available to borrow under the DOE Loan, subject to the satisfaction of conditions contained in the Guarantee Agreement. The weighted average interest rate on amounts outstanding under the DOE Loan as of June 30, 2026 was approximately 5.63%.</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(“Voyager Closing Date”), EVgo Voyager Borrower LLC (the “Voyager Borrower”), a subsidiary of the Company, entered into a credit agreement (as it may be amended from time to time, the “Credit Agreement”) with the Lenders and other parties thereto from time to time. The Credit Agreement provides for a term facility of up to $300 million, consisting of (i) a $225 million committed term loan facility (the “Commitments”) with a maturity date of July 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2030 and (ii) a $75 million uncommitted incremental term loan facility (“Incremental Facility”). Voyager Borrower may borrow a loan (each, a “Loan”) two times in any calendar month under the Credit Agreement (each, a “Borrowing”) at any time beginning on the Voyager Closing Date and ending on the earliest of (i) the third anniversary of the Voyager Closing Date, (ii) the date on which Loans have been made in an amount greater than or equal to 95% of the original aggregate amount of the Commitments as of the Voyager Closing Date, and (iii) the date the Commitments are otherwise terminated under the Credit Agreement (the “Voyager Availability Period”). Borrowings under the Credit Agreement are subject to the satisfaction of customary conditions, including contribution to Voyager Borrower by EVgo Services of the EV fast charging stalls (the “Stalls”) to which the applicable Borrowing relates, delivery of a Borrowing notice and the ongoing accuracy of certain representations and warranties.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proceeds from the Credit Agreement will be used to reimburse EVgo Services for up to 60% of certain costs associated with the construction, installation and deployment of the Stalls contributed to Voyager Borrower by EVgo Services pursuant to the terms of the Credit Agreement and pay for certain transaction costs. The Loans are expected to support more than 1,900 Stalls nationwide (the “Project”), including the buildout of more than 1,500 new Stalls and 400 Stalls that EVgo Services contributed from its existing public network to Voyager Borrower as collateral in connection with the Initial Borrowing, which is defined below. Under the terms of the Credit Agreement, EVgo Services may contribute additional Stalls or cash to Voyager Borrower from time to time during the Voyager Availability Period. EVgo Services will provide charge point operator services to Voyager Borrower in connection with the Project for the duration of the Credit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Loans under the Credit Agreement may, at the election of Voyager Borrower, be in the form of a SOFR Loan or an ABR Loan (each as defined in the Credit Agreement). SOFR Loans bear interest at a rate per annum equal to Term SOFR (as defined in the Credit Agreement) plus (i) 3.25% for the period from the Voyager Closing Date until and excluding the fourth anniversary of the Voyager Closing Date and (ii) 3.50% for the period from and including the fourth anniversary of the Voyager Closing Date and thereafter. ABR Loans bear interest at a rate per annum equal to ABR (as defined in the Credit Agreement) plus (i) 2.25% for the period from the Voyager Closing Date until and excluding the fourth anniversary of the Voyager Closing Date and (ii) 2.50% for the period from and including the fourth anniversary of the Voyager Closing Date and thereafter. Voyager Borrower began making quarterly interest payments in the year ended December 31, 2025.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including the existence of no events of default, Voyager Borrower may voluntarily prepay any or all of the principal outstanding under the Credit Agreement. Additionally, upon the occurrence of certain mandatory prepayment events set forth in the Credit Agreement, Voyager Borrower may be required to prepay certain amounts outstanding under the Credit Agreement. Voyager Borrower’s obligations to the Lenders under the Credit Agreement are required to be secured by a first priority security interest (subject to customary exceptions and permitted liens) in, among other things, the assets of Voyager Borrower and the equity interests of Voyager Borrower.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under the Loan was $71.1 million. As of June 30, 2026, Voyager Borrower had $153.4 million of principal remaining available to borrow under the Commitments, subject to the satisfaction of customary conditions. The weighted average interest rate on the outstanding amounts under the Credit Agreement as of June 30, 2026 was 6.98%.</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on our variable rate borrowings under the Credit Agreement. Accordingly, interest rate fluctuations affect the amount of interest expense it is obligated to pay. The Company currently uses an interest rate collar to manage its exposure to interest rate changes. The Company has designated the interest rate collar as a cash flow hedge for accounting purposes (see Note 12).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9 — Equity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10, 2022, EVgo entered into a Distribution Agreement with J.P. Morgan Securities LLC, Evercore Group L.L.C. and Goldman Sachs &amp; Co. LLC as sales agents, pursuant to which the Company may sell up to $200.0 million of shares of Class A common stock in “at the market” transactions at prevailing market prices (the “ATM Program”). As of June 30, 2026, the Company had $183.5 million of remaining capacity under the ATM Program. The Company ceased to be eligible to conduct certain delayed or continuous offerings pursuant to Rule 415 under its previous Form S-3 (No. 333-266753) in August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10 —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Pilot Infrastructure Agreement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5, 2022, EVgo entered into a charging infrastructure agreement (the “Pilot Infrastructure Agreement”) and an operations and maintenance agreement (the “Pilot O&amp;M Agreement”) with Pilot Travel Centers LLC (the “Pilot Company”) and General Motors LLC (“GM”) to build, operate, and maintain up to 2,000 stalls served by DC chargers that the Pilot Company will own. The stalls will be located at the Pilot Company sites across the U.S.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Pilot Infrastructure Agreement, EVgo is required to meet certain construction milestones measured by the number of sites commissioned, and the Pilot Company is required to make certain payments each month based on completion of pre-engineering and development work, the progress of construction at each site and for each charger that EVgo procures. Subject to extensions of time for specified excusable events, if EVgo is unable to meet its commissioning obligations, the Pilot Company will be entitled to liquidated damages calculated per day, subject to a cap of $30,000 at each site. The Pilot Infrastructure Agreement includes customary events of default such as those resulting from insolvency, material breaches, and extended unexcused noncompliance, in each case subject to applicable notice and cure periods and other customary limitations on the parties’ ability to seek available remedies, including early termination. Additional provisions that may permit or cause early termination include the Pilot Company’s right to terminate after 1,000 stalls have been completed, the inability of EVgo to secure certain chargers and a material increase in the price of chargers due to a change in law. If the Pilot Company elects to terminate the Pilot Infrastructure Agreement after 1,000 stalls have been completed, the Pilot Company must pay EVgo a termination fee per stall for those not built; such fee varies based on the number of stalls already built. If EVgo is wholly or partially unable to perform its obligations under the Pilot Infrastructure Agreement due to certain circumstances outside its control, including delays by permitting authorities and utilities or certain force majeure events, such inability will not be considered a breach or default under the Pilot Infrastructure Agreement.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Pilot O&amp;M Agreement, EVgo is required to perform operations, maintenance and networking services on stalls built and commissioned under the Pilot Infrastructure Agreement in exchange for payment of a monthly fee by the Pilot Company to EVgo. Similar to the Pilot Infrastructure Agreement, the Pilot O&amp;M Agreement includes customary events of default and related remedies.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Delta Charger Supply Agreement and Purchase Order</w:t>
      </w:r>
    </w:p>
    <w:p>
      <w:pPr>
        <w:pStyle w:val="TextBody"/>
        <w:bidi w:val="0"/>
        <w:spacing w:lineRule="auto" w:line="288" w:before="200" w:after="200"/>
        <w:ind w:left="0" w:right="0" w:firstLine="360"/>
        <w:jc w:val="both"/>
        <w:rPr/>
      </w:pPr>
      <w:r>
        <w:rPr>
          <w:rFonts w:ascii="Times New Roman;serif" w:hAnsi="Times New Roman;serif"/>
          <w:b w:val="false"/>
          <w:color w:val="000000"/>
          <w:sz w:val="20"/>
        </w:rPr>
        <w:t xml:space="preserve">On July 12, 2022, EVgo entered into a General Terms and Conditions for Sale of EV Charger Products (the “Delta Charger Supply Agreement”) with Delta Electronics, Inc. (“Delta”), including an initial purchase order (the “Purchase Order”), pursuant to which EVgo will purchase and Delta will sell EV chargers manufactured by Delta in specified quantities at certain delivery dates. EVgo expects to use a portion of the chargers purchased under the Purchase Order to meet the requirements of the Pilot Infrastructure Agreement. EVgo is required to purchase a minimum of 1,000 chargers from Delta under the Purchase Order and may, at EVgo’s election, increase the number of chargers it purchases from Delta to 1,100. </w:t>
      </w:r>
      <w:r>
        <w:rPr>
          <w:rFonts w:ascii="Times New Roman;serif" w:hAnsi="Times New Roman;serif"/>
          <w:b w:val="false"/>
          <w:color w:val="000000"/>
          <w:sz w:val="18"/>
        </w:rPr>
        <w:t>T</w:t>
      </w:r>
      <w:r>
        <w:rPr>
          <w:rFonts w:ascii="Times New Roman;serif" w:hAnsi="Times New Roman;serif"/>
          <w:b w:val="false"/>
          <w:color w:val="000000"/>
          <w:sz w:val="20"/>
        </w:rPr>
        <w:t>he Purchase Order was amended in August 2023 to provide for certain Delta chargers to be manufactured in Delta’s facility in Plano, Texas rather than in Taiwan.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Motors Agreement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20, 2020, EVgo entered into a contract with GM (as amended from time to time, the “GM Agreement”) to build fast charger stalls that EVgo will own and operate as part of the Company’s public network. The GM Agreement has been amended several times, to among other things, expand the overall number of charger stalls to be installed from 2,750 to 2,850, adjust charger stall installation targets, extend the completion deadline to June 30, 2028, provide for a payment of $7,000,000 in December 2022 in exchange for EVgo’s agreement to apply certain branding decals on the fast chargers funded by GM pursuant to the GM Agreement and additional payments for changes to GM’s charger branding, maintain a specified uptime percentage (described below) over the term of the agreement, and provide certain charging credits to GM EV customers. A certain portion of the charger stalls that EVgo is required to build are required to have additional specifications including increased stall count, hardware requirements, canopies and other features agreed between GM and EVgo (“Flagship Stalls”). Pursuant to the GM Agreement, EVgo is required to meet certain quarterly milestones measured by the number of charger stalls completed, and GM is required to make certain payments based on charger stalls completed.</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GM Agreement, EVgo is required to install a total of 2,850 charger stalls by June 30, 2028, 83.9% of which were required to be installed by June 30, 2026. Meeting the quarterly milestones will require additional funds beyond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amounts committed by GM, and EVgo may face delays in construction, commissioning or aspects of installation of the charger stalls the Company is obligated to develop. EVgo is also required to maintain network availability (i.e., the percentage of time a charger is operational and available on the network) of at least 97% across Flagship Stalls and 95% across the rest of the GM network. In addition to the capital-build program, EVgo is committed to providing GM EV customers with a certain aggregate amount of charging credits.</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GM Agreement is subject to early termination in certain circumstances, including in the event EVgo fails to meet the quarterly charger stall-installation milestones or maintain the specified level of network availability. If GM opts to terminate the agreement, EVgo may not be entitled to receive continued payments from GM and instead may be required to pay liquidated damages to GM. In the event EVgo fails to meet a charger stall-installation milestone or maintain the required network availability in a calendar quarter, GM has the right to provide EVgo with a notice of such deficiency within 30 days of the end of the quarter. If the same deficiency still exists at the end of the quarter immediately following the quarter for which a deficiency notification was delivered, GM may immediately terminate the agreement and seek pre-agreed liquidated damages. Under the terms of the GM Agreement, the Company and GM can agree to adjust quarterly charger stall installation milestones from time to time, provided that the quarterly targets for an applicable calendar year must equal the total annual target under the GM Agreement for such year.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Indemnifications and Guarantees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and in conjunction with certain agreements, the Company has entered into contractual arrangements through which it may be obligated to indemnify the other party with respect to certain matters. These arrangements can include provisions whereby the Company has joint and several liability in relation to the performance of certain contractual obligations along with third parties also providing services and products for a specific project. In addition, the Company’s arrangements may include warranties that its services will substantially operate in accordance with the stated requirements. Indemnification provisions are also included in arrangements under which EVgo agrees to hold the indemnified party harmless with respect to third-party claims related to such matters as title to assets sold or licensed or certain intellectual property rights.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has indemnification obligations to other parties, including customers, lessors, and parties to other transactions with EVgo, with respect to certain matters. EVgo has agreed to indemnify against losses arising from a breach of representations or covenants or out of intellectual property infringement or the occurrence of certain specified conditions or other claims made against certain parties. These agreements may limit the time or circumstances within which an indemnification claim can be made and the amount of the claim. Historically, indemnity payments made by the Company have not had a material effect on its condensed consolidated financial statements. In addition, the Company has entered into indemnification agreements with its officers and directors, and its Amended and Restated Bylaws contain similar indemnification obligations to its agents.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EVgo has not been required to make any significant payment under any of the arrangements described above. The Company has assessed the current status of performance/payment risk related to arrangements with limited guarantees, warranty obligations, unspecified limitations, indemnification provisions, letters of credit and surety bonds, and believes that any potential payments would be immaterial to the condensed consolidated financial statements, as a whole.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20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the Company’s business, the Company may be subject to lawsuits, investigations, claims and proceedings, including, but not limited to, contractual disputes with vendors and customers and liabilities related to employment, health and safety matters. The Company accrues for losses that are both probable and reasonably estimable. Loss contingencies are subject to significant uncertainties and, therefore, determining the likelihood of a loss and/or the measurement of any loss can be complex and subject to change.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Contingent liabilities arising from ordinary course litigation are not expected to have a material adverse effect on the Company’s financial position. However, future events or circumstances, currently unknown to management, may potentially have a material effect on the Company’s financial position, liquidity or results of operations in any future reporting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20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EVgo had $68.0 million in outstanding purchase order commitments to EVgo’s contract manufacturers and component suppliers for charging equipment, of which $64.6 million were short-term in nature.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certain instances, EVgo is permitted to cancel, reschedule or adjust these orders. As of June 30, 2026, EVgo also had $5.4 million in real property purchase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11 — Fair Value Measurements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Derivative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primarily uses derivative instruments to manage its interest rate risk (see Note 12). The Company recognizes derivative instruments in the condensed consolidated balance sheets at fair value and classify them primarily within Level 2 in the fair value hierarchy.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Company's interest rate collar included in the condensed consolidated balance sheets as of the dates presented: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7"/>
        <w:gridCol w:w="972"/>
        <w:gridCol w:w="967"/>
        <w:gridCol w:w="109"/>
        <w:gridCol w:w="109"/>
        <w:gridCol w:w="109"/>
        <w:gridCol w:w="704"/>
        <w:gridCol w:w="704"/>
        <w:gridCol w:w="706"/>
        <w:gridCol w:w="119"/>
        <w:gridCol w:w="119"/>
        <w:gridCol w:w="119"/>
        <w:gridCol w:w="294"/>
        <w:gridCol w:w="362"/>
        <w:gridCol w:w="163"/>
        <w:gridCol w:w="109"/>
        <w:gridCol w:w="109"/>
        <w:gridCol w:w="109"/>
        <w:gridCol w:w="643"/>
        <w:gridCol w:w="643"/>
        <w:gridCol w:w="645"/>
        <w:gridCol w:w="128"/>
        <w:gridCol w:w="128"/>
        <w:gridCol w:w="128"/>
        <w:gridCol w:w="254"/>
        <w:gridCol w:w="429"/>
        <w:gridCol w:w="207"/>
      </w:tblGrid>
      <w:tr>
        <w:trPr/>
        <w:tc>
          <w:tcPr>
            <w:tcW w:w="111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Derivatives</w:t>
            </w:r>
          </w:p>
        </w:tc>
      </w:tr>
      <w:tr>
        <w:trPr/>
        <w:tc>
          <w:tcPr>
            <w:tcW w:w="30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Prepaids and other current assets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financial instruments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 xml:space="preserve">The carrying values of certain accounts such as cash, restricted cash, accounts receivable, prepaids and other current assets, accounts payable and accrued expenses are deemed to approximate their fair values due to their short-term nature. The fair value of the Credit Agreement also closely approximates carrying value due to the variable nature of the debt. There were no assets measured on a recurring basis using significant unobservable inputs (Level 3)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and December 31, 2025.</w:t>
      </w:r>
    </w:p>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 xml:space="preserve">The estimated fair value of the DOE Loan was based on Level 3 inputs, which are comprised of interest rates currently available to the Company for the issuance of debt with similar terms and remaining maturities as a discount rate for the remaining principal payments.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fair value of the DO</w:t>
      </w:r>
      <w:r>
        <w:rPr>
          <w:rFonts w:ascii="Times New Roman;serif" w:hAnsi="Times New Roman;serif"/>
          <w:b w:val="false"/>
          <w:color w:val="000000"/>
          <w:sz w:val="20"/>
        </w:rPr>
        <w:t>E Loan was $222.4 million compared to the carrying value of $226.1 million, which excludes deferred debt issuance costs and includes paid-in-kind interest. The DOE Loan was valued using a discounted cash flow model. Assumpti</w:t>
      </w:r>
      <w:r>
        <w:rPr>
          <w:rFonts w:ascii="Times New Roman;serif" w:hAnsi="Times New Roman;serif"/>
          <w:b w:val="false"/>
          <w:color w:val="000000"/>
          <w:sz w:val="20"/>
          <w:shd w:fill="FFFFFF" w:val="clear"/>
        </w:rPr>
        <w:t xml:space="preserve">ons used in the valuation of the DOE Loan were as follows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tbl>
      <w:tblPr>
        <w:tblW w:w="5129" w:type="dxa"/>
        <w:jc w:val="left"/>
        <w:tblInd w:w="0" w:type="dxa"/>
        <w:tblLayout w:type="fixed"/>
        <w:tblCellMar>
          <w:top w:w="28" w:type="dxa"/>
          <w:left w:w="28" w:type="dxa"/>
          <w:bottom w:w="28" w:type="dxa"/>
          <w:right w:w="28" w:type="dxa"/>
        </w:tblCellMar>
      </w:tblPr>
      <w:tblGrid>
        <w:gridCol w:w="852"/>
        <w:gridCol w:w="749"/>
        <w:gridCol w:w="754"/>
        <w:gridCol w:w="811"/>
        <w:gridCol w:w="811"/>
        <w:gridCol w:w="1152"/>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 frequency</w:t>
            </w:r>
          </w:p>
        </w:tc>
        <w:tc>
          <w:tcPr>
            <w:tcW w:w="277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Quarterly</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interest payment date</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March 15, 2030</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spread (semi-annual)</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U.S. Constant Maturity Treasury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information about the Company’s assets and liabilities that are measured at fair value on a recurring basis and indicates the level within the fair value hierarchy of the valuation inputs the Company utilized to determine such fair value:</w:t>
      </w:r>
    </w:p>
    <w:tbl>
      <w:tblPr>
        <w:tblW w:w="8180" w:type="dxa"/>
        <w:jc w:val="left"/>
        <w:tblInd w:w="0" w:type="dxa"/>
        <w:tblLayout w:type="fixed"/>
        <w:tblCellMar>
          <w:top w:w="28" w:type="dxa"/>
          <w:left w:w="28" w:type="dxa"/>
          <w:bottom w:w="28" w:type="dxa"/>
          <w:right w:w="28" w:type="dxa"/>
        </w:tblCellMar>
      </w:tblPr>
      <w:tblGrid>
        <w:gridCol w:w="1440"/>
        <w:gridCol w:w="1265"/>
        <w:gridCol w:w="1270"/>
        <w:gridCol w:w="165"/>
        <w:gridCol w:w="165"/>
        <w:gridCol w:w="166"/>
        <w:gridCol w:w="109"/>
        <w:gridCol w:w="109"/>
        <w:gridCol w:w="109"/>
        <w:gridCol w:w="211"/>
        <w:gridCol w:w="721"/>
        <w:gridCol w:w="109"/>
        <w:gridCol w:w="109"/>
        <w:gridCol w:w="109"/>
        <w:gridCol w:w="109"/>
        <w:gridCol w:w="165"/>
        <w:gridCol w:w="165"/>
        <w:gridCol w:w="166"/>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4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Private Placement Warrants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earnout liability was valued using the Monte Carlo simulation methodology. As of June 30, 2026, the earnout liability was zero. Assumptions used in the valuation of the earnout liability at December 31, 2025 were as follows:</w:t>
      </w:r>
    </w:p>
    <w:tbl>
      <w:tblPr>
        <w:tblW w:w="4991" w:type="dxa"/>
        <w:jc w:val="left"/>
        <w:tblInd w:w="0" w:type="dxa"/>
        <w:tblLayout w:type="fixed"/>
        <w:tblCellMar>
          <w:top w:w="28" w:type="dxa"/>
          <w:left w:w="28" w:type="dxa"/>
          <w:bottom w:w="28" w:type="dxa"/>
          <w:right w:w="28" w:type="dxa"/>
        </w:tblCellMar>
      </w:tblPr>
      <w:tblGrid>
        <w:gridCol w:w="1128"/>
        <w:gridCol w:w="990"/>
        <w:gridCol w:w="1001"/>
        <w:gridCol w:w="109"/>
        <w:gridCol w:w="109"/>
        <w:gridCol w:w="109"/>
        <w:gridCol w:w="314"/>
        <w:gridCol w:w="314"/>
        <w:gridCol w:w="917"/>
      </w:tblGrid>
      <w:tr>
        <w:trPr/>
        <w:tc>
          <w:tcPr>
            <w:tcW w:w="112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restriction period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The warrants are accounted for as liabilities in accordance with ASC 815 and are presented as warrant liabilities on the condensed consolidated balance sheets. The warrant liabilities are measured at fair value at inception and on a recurring basis, with changes in fair value presented within change in fair value of warrant liabilities in the condensed consolidated s</w:t>
      </w:r>
      <w:r>
        <w:rPr>
          <w:rFonts w:ascii="Times New Roman;serif" w:hAnsi="Times New Roman;serif"/>
          <w:b w:val="false"/>
          <w:color w:val="000000"/>
          <w:sz w:val="20"/>
        </w:rPr>
        <w:t>tatements of operations</w:t>
      </w:r>
      <w:r>
        <w:rPr>
          <w:rFonts w:ascii="Times New Roman;serif" w:hAnsi="Times New Roman;serif"/>
          <w:b w:val="false"/>
          <w:color w:val="000000"/>
          <w:sz w:val="20"/>
          <w:shd w:fill="FFFFFF" w:val="clear"/>
        </w:rPr>
        <w:t>. The closing price of the Public Warrants was used as its fair value as of each relevant date.</w:t>
      </w:r>
      <w:r>
        <w:rPr>
          <w:color w:val="000000"/>
        </w:rPr>
        <w:t xml:space="preserve"> </w:t>
      </w:r>
      <w:r>
        <w:rPr>
          <w:rFonts w:ascii="Times New Roman;serif" w:hAnsi="Times New Roman;serif"/>
          <w:b w:val="false"/>
          <w:color w:val="000000"/>
          <w:sz w:val="20"/>
        </w:rPr>
        <w:t xml:space="preserve">The Public Warrants expired July 1, 2026.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Private Placement Warrants expired on July 1, 2026, therefore as of June 30, 2026, the Private Placement Warrants have been assessed as de minimis. As of December 31, 2025, the Private Placement Warrants were valued using the Monte Carlo simulation methodology, which is considered a Level 3 fair value measurement. Assumptions used in the valuation of the Private Placement Warrant liability using the Monte Carlo simulation methodology are as follows:</w:t>
      </w:r>
    </w:p>
    <w:p>
      <w:pPr>
        <w:pStyle w:val="TextBody"/>
        <w:bidi w:val="0"/>
        <w:spacing w:before="0" w:after="0"/>
        <w:jc w:val="both"/>
        <w:rPr/>
      </w:pPr>
      <w:r>
        <w:rPr/>
      </w:r>
    </w:p>
    <w:tbl>
      <w:tblPr>
        <w:tblW w:w="3956" w:type="dxa"/>
        <w:jc w:val="left"/>
        <w:tblInd w:w="0" w:type="dxa"/>
        <w:tblLayout w:type="fixed"/>
        <w:tblCellMar>
          <w:top w:w="28" w:type="dxa"/>
          <w:left w:w="28" w:type="dxa"/>
          <w:bottom w:w="28" w:type="dxa"/>
          <w:right w:w="28" w:type="dxa"/>
        </w:tblCellMar>
      </w:tblPr>
      <w:tblGrid>
        <w:gridCol w:w="754"/>
        <w:gridCol w:w="661"/>
        <w:gridCol w:w="669"/>
        <w:gridCol w:w="109"/>
        <w:gridCol w:w="109"/>
        <w:gridCol w:w="109"/>
        <w:gridCol w:w="314"/>
        <w:gridCol w:w="314"/>
        <w:gridCol w:w="917"/>
      </w:tblGrid>
      <w:tr>
        <w:trPr/>
        <w:tc>
          <w:tcPr>
            <w:tcW w:w="7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for all liabilities measured and recognized at fair value on a recurring basis using significant unobservable inputs (Level 3):</w:t>
      </w:r>
    </w:p>
    <w:tbl>
      <w:tblPr>
        <w:tblW w:w="7495" w:type="dxa"/>
        <w:jc w:val="left"/>
        <w:tblInd w:w="0" w:type="dxa"/>
        <w:tblLayout w:type="fixed"/>
        <w:tblCellMar>
          <w:top w:w="28" w:type="dxa"/>
          <w:left w:w="28" w:type="dxa"/>
          <w:bottom w:w="28" w:type="dxa"/>
          <w:right w:w="28" w:type="dxa"/>
        </w:tblCellMar>
      </w:tblPr>
      <w:tblGrid>
        <w:gridCol w:w="1075"/>
        <w:gridCol w:w="946"/>
        <w:gridCol w:w="948"/>
        <w:gridCol w:w="397"/>
        <w:gridCol w:w="763"/>
        <w:gridCol w:w="205"/>
        <w:gridCol w:w="109"/>
        <w:gridCol w:w="109"/>
        <w:gridCol w:w="109"/>
        <w:gridCol w:w="717"/>
        <w:gridCol w:w="1589"/>
        <w:gridCol w:w="528"/>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Private Placement Warrant Liability</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liability</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39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12 — Derivative Instruments and Hedging Activities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on its variable rate borrowings under the Credit Agreement (see Note 8), which bears interest at rates based on the Secured Overnight Financing Rate (“SOFR”) plus an applicable margin. Accordingly, interest rate fluctuations affect the amount of interest expense the Company is obligated to pay. The Company uses interest rate derivative instruments with the objective of managing its exposure to interest rate movements, thereby reducing the effect of interest rate changes on its future cash flows.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the Company entered into an interest rate collar agreement with a notional amount of $35.7 million (subject to amortization per the terms of the agreement). The collar became effective on June 30, 2026 and matures on July 23, 2030. Under the terms of the collar, the Company purchased an interest rate cap at a rate of 4.250% and simultaneously sold an interest rate floor at a rate of 3.715%, both referencing 3-month USD SOFR CME Term, with payments due quarterly. The collar was entered into on a zero-cost basis, with no net premium paid or received. The collar effectively limits the Company's interest expense on the hedged notional amount to a range bounded by the floor rate and the cap rate, as follows: (i) if SOFR exceeds the cap rate of 4.250%, the counterparty pays the Company the excess; (ii) if SOFR falls below the floor rate of 3.715%, the Company pays the shortfall; and (iii) if SOFR is between the floor rate and the cap rate, no payment is made by either party.</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has designated the interest rate collar as a cash flow hedge of the variability in interest payments on our Credit Agreement attributable to changes in SOFR, in accordance with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To qualify for hedge accounting, a derivative must be highly effective at reducing the risk associated with the exposure being hedged. The Company assesses hedge effectiveness on an ongoing basis using quantitative or qualitative methods to confirm that the collar is highly effective in offsetting changes in the cash flows of the hedged interest payments.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portion of changes in the fair value of the interest rate collar (unrealized gains and losses) is recorded as a component of AOCI. Amounts recorded in AOCI are reclassified into interest expense in the period in which the hedged forecasted interest payment affects earnings.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recorded an unrealized loss on the interest rate collar of $0.1 million. The Company estimates that approximately $6 thousand of gains currently recorded in AOCI will be reclassified to interest expense within the next 12 months as the hedged interest payments are recognized in earnings.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815 requires companies to recognize all derivative instruments as either assets or liabilities at fair value in the balance sheet. The fair value of the interest rate collar is based on quoted market prices for similar instruments obtained from commercial banks, utilizing significant observable inputs (Level 2 inputs within the fair value hierarchy). When derivative instruments are used, we are exposed to credit loss in the event of non-performance by the counterparty; however, we do not anticipate non-performance by the counterparty.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included in AOCI will be reclassified to interest expense should the hedge no longer be considered effective or should the hedged forecasted transactions become probable of not occurring. No amount of ineffectiveness was recorded in net income for the three and six months ended June 30, 2026. The Company will continue to assess the effectiveness of the hedge on an ongoing basis.</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 (Loss)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in AOCI related to the interest rate collar for the periods presented: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tbl>
      <w:tblPr>
        <w:tblW w:w="8114" w:type="dxa"/>
        <w:jc w:val="left"/>
        <w:tblInd w:w="0" w:type="dxa"/>
        <w:tblLayout w:type="fixed"/>
        <w:tblCellMar>
          <w:top w:w="28" w:type="dxa"/>
          <w:left w:w="28" w:type="dxa"/>
          <w:bottom w:w="28" w:type="dxa"/>
          <w:right w:w="28" w:type="dxa"/>
        </w:tblCellMar>
      </w:tblPr>
      <w:tblGrid>
        <w:gridCol w:w="2128"/>
        <w:gridCol w:w="1871"/>
        <w:gridCol w:w="1880"/>
        <w:gridCol w:w="589"/>
        <w:gridCol w:w="1217"/>
        <w:gridCol w:w="429"/>
      </w:tblGrid>
      <w:tr>
        <w:trPr/>
        <w:tc>
          <w:tcPr>
            <w:tcW w:w="2128"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Six Months Ended</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 beginning of period</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interest rate collar, net</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 end of period</w:t>
            </w:r>
          </w:p>
        </w:tc>
        <w:tc>
          <w:tcPr>
            <w:tcW w:w="5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13 — Income 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related to federal and state jurisdictions where business is conducted through the Company’s ownership in EVgo OpCo. All income (loss) before income taxes is primarily generated in the U.S. The Company’s provision for income taxes reflects the impact of a full valuation allowance on its deferred tax assets and a significant portion of income (loss) being allocated to a nontaxable partnership.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 valuation allowance to reduce deferred tax assets when it is more likely than not that the tax benefit will not be realized. Management considers all available material evidence, both positive and negative, in assessing the appropriateness of a valuation allowance for the Company’s deferred tax assets, including the generation of future taxable income, the timing of the reversal of deferred tax liabilities and other available material evidence. After consideration of all available evidence, management believes that significant uncertainty exists with respect to the future realization of the Company’s deferred tax assets and has therefore established a full valuation allowance against its net deferred tax assets as of June 30, 2026 and December 31, 2025.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state and local jurisdictions and is subject to examination by the various taxing authorities for all periods since its inception due to its tax loss carryforwards. As of June 30, 2026 and December 31, 2025, there were no unrecognized tax benefits for uncertain tax positions, nor any amounts accrued for interest and penalties.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(the “IRA”) was signed into law and offers tax incentives targeting energy transition and renewables. The alternative fuel refueling property credit under Section 30C of the Internal Revenue Code, which includes EV charging stations (the “30C Credit”), was reinstated in 2022 and extended to apply to any property placed in service beginning January 1, 2023 and before January 1, 2033. The credit amount is calculated as 6% of the eligible costs of the alternative fuel refueling property with a potential higher tax credit rate of 30% of the eligible costs of the alternative fuel refueling property if specified prevailing wage and registered apprenticeship requirements are met during construction of the property, with a maximum credit amount of $100,000 per item of property. Under the IRA, 30C income tax credits may be transferred for cash consideration in the taxable year the credit is generated. The U.S. Department of the Treasury and the Internal Revenue Service have been granted broad authority to issue regulations or guidance that could clarify how these tax credits are calculated.</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July 4, 2025, H.R. 1, 119</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20"/>
        </w:rPr>
        <w:t>Congress (2025), also referred to as the One Big Beautiful Bill Act (the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In particular, OBBBA led to a sunset of federal incentives for EV purchases after September 30, 2025, and the federal tax credits for alternative fuels such as EV charging will terminate for any locations placed in service after June 30, 2026. EVgo does not expect OBBBA to have a material impact on its condensed consolidated financial statements due to the full valuation allowance currently being maintained.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14 — Tax Receivable Agreement Liability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CRIS Business Combination, EVgo entered into a tax receivable agreement (the “Tax Receivable Agreement”) with EVgo Holdings (along with permitted assigns, the “TRA Holders”) and LS Power Equity Advisors, LLC, as agent. The Tax Receivable Agreement generally provides for payment by the Company, Thunder Sub or any of their subsidiaries other than EVgo OpCo and its subsidiaries (“Company Group”) to the TRA Holders of 85% of the net cash savings, if any, in U.S. federal, state and local income tax and franchise tax that the Company actually realizes (or is deemed to realize in certain circumstances) as a result of (i) certain increases in tax basis that occur as a result of the Company Group’s acquisition (or deemed acquisition for U.S. federal income tax purposes) of all or a portion of EVgo OpCo Units pursuant to any exercise of the Redemption Right and (ii) imputed interest deemed to be paid by the Company as a result of, and additional tax basis arising from, any payments the Company makes under the Tax Receivable Agreement. The Company Group will retain the benefit of any remaining net cash savings. If the Company Group elects to terminate the Tax Receivable Agreement early (or it is terminated early due to the Company Group’s failure to honor a material obligation thereunder or due to certain mergers, asset sales, other forms of business combinations or other changes of control), the Company Group is required to make an immediate payment equal to the present value of the anticipated future payments to be made by it under the Tax Receivable Agreement (based upon certain assumptions and deemed events set forth in the Tax Receivable Agreement, including (i) that the Company Group has sufficient taxable income on a current basis to fully utilize the tax benefits covered by the Tax Receivable Agreement and (ii) that any EVgo OpCo Units (other than those held by the Company Group) outstanding on the termination date or change of control date, as applicable, are deemed to be redeemed on such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redemption of EVgo OpCo Units that occurred in December 2024 is expected to produce favorable tax attributes for the Company. These tax attributes would not be available to the Company in the absence of the redemption. Amounts payable by the Company under the Tax Receivable Agreement are initially accrued against additional paid-in capital when it is probable that a liability has been incurred and the amount is estimable. Any subsequent changes to the liability are recorded as non-operating income (loss). If the liability is considered probable and estimable and is established for the first time as part of a reversal of a valuation allowance against deferred tax assets, the initial liability is accrued through non-operating income (loss).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does not expect any cash tax benefit from the tax attributes produced by the redemption and therefore no amounts have been accrued as the liability is not deemed probable. The potential unrecorded tax liability related to the redemption is $33.8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i/>
          <w:color w:val="000000"/>
          <w:sz w:val="20"/>
          <w:u w:val="single"/>
          <w:shd w:fill="FFFFFF" w:val="clear"/>
        </w:rPr>
        <w:t xml:space="preserve">Note 15 </w:t>
      </w:r>
      <w:r>
        <w:rPr>
          <w:color w:val="000000"/>
          <w:u w:val="single"/>
        </w:rPr>
        <w:t xml:space="preserve">— </w:t>
      </w:r>
      <w:r>
        <w:rPr>
          <w:rFonts w:ascii="Times New Roman;serif" w:hAnsi="Times New Roman;serif"/>
          <w:b/>
          <w:i/>
          <w:color w:val="000000"/>
          <w:sz w:val="20"/>
          <w:u w:val="single"/>
          <w:shd w:fill="FFFFFF" w:val="clear"/>
        </w:rPr>
        <w:t>Share-Based Compensation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total share-based compensation expense included in the Company’s condensed consolidated statements of operations:</w:t>
      </w:r>
    </w:p>
    <w:tbl>
      <w:tblPr>
        <w:tblW w:w="8372" w:type="dxa"/>
        <w:jc w:val="center"/>
        <w:tblInd w:w="0" w:type="dxa"/>
        <w:tblLayout w:type="fixed"/>
        <w:tblCellMar>
          <w:top w:w="28" w:type="dxa"/>
          <w:left w:w="28" w:type="dxa"/>
          <w:bottom w:w="28" w:type="dxa"/>
          <w:right w:w="28" w:type="dxa"/>
        </w:tblCellMar>
      </w:tblPr>
      <w:tblGrid>
        <w:gridCol w:w="1244"/>
        <w:gridCol w:w="1093"/>
        <w:gridCol w:w="109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sales</w:t>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2021 Long Term Incentive Plan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2021 Long Term Incentive Plan (the “2021 Incentive Plan”) became effective on July 1, 2021. The 2021 Incentive Plan reserved 33,918,000 shares of the Company’s Class A common stock for issuance to employees, non-employee directors and other service providers pursuant to equity awards granted under the 2021 Incentive Plan. On May 15, 2025, the Company’s stockholders approved an amendment to the 2021 Incentive Plan to reserve an additional 25,000,000 shares of the Company’s Class A common stock. As of June 30, 2026, there were 22,474,216 shares of Class A common stock available for grant. The nonvested performance-based restricted stock units (“PSUs”) previously issued under the 2021 Incentive Plan are subject to under- and over-achievement thresholds. The number of shares remaining available for grant as disclosed in this paragraph was determined based on the number of PSUs whose vesting conditions were considered probable of achievement as of June 30, 2026. The 2021 Incentive Plan will terminate on March 26, 2031, unless terminated earlier by action of the Company’s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w:t>
      </w:r>
    </w:p>
    <w:tbl>
      <w:tblPr>
        <w:tblW w:w="10205" w:type="dxa"/>
        <w:jc w:val="left"/>
        <w:tblInd w:w="0" w:type="dxa"/>
        <w:tblLayout w:type="fixed"/>
        <w:tblCellMar>
          <w:top w:w="28" w:type="dxa"/>
          <w:left w:w="28" w:type="dxa"/>
          <w:bottom w:w="28" w:type="dxa"/>
          <w:right w:w="28" w:type="dxa"/>
        </w:tblCellMar>
      </w:tblPr>
      <w:tblGrid>
        <w:gridCol w:w="1140"/>
        <w:gridCol w:w="897"/>
        <w:gridCol w:w="892"/>
        <w:gridCol w:w="519"/>
        <w:gridCol w:w="519"/>
        <w:gridCol w:w="521"/>
        <w:gridCol w:w="109"/>
        <w:gridCol w:w="109"/>
        <w:gridCol w:w="109"/>
        <w:gridCol w:w="386"/>
        <w:gridCol w:w="935"/>
        <w:gridCol w:w="199"/>
        <w:gridCol w:w="109"/>
        <w:gridCol w:w="109"/>
        <w:gridCol w:w="109"/>
        <w:gridCol w:w="563"/>
        <w:gridCol w:w="563"/>
        <w:gridCol w:w="565"/>
        <w:gridCol w:w="109"/>
        <w:gridCol w:w="109"/>
        <w:gridCol w:w="109"/>
        <w:gridCol w:w="414"/>
        <w:gridCol w:w="800"/>
        <w:gridCol w:w="311"/>
      </w:tblGrid>
      <w:tr>
        <w:trPr/>
        <w:tc>
          <w:tcPr>
            <w:tcW w:w="114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(shares in thousands)</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Shares Underlying 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Exercise</w:t>
              <w:b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Remaining</w:t>
              <w:br/>
              <w:t>Contractual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3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5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9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June 30, 2026</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unrecognized share-based compensation expense related to stock options was de minimis, which is expected to be recognized over a weighted average period of 0.4 years. No stock options were granted, forfeited or exercised during the three and six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Service-Based Awards</w:t>
      </w:r>
    </w:p>
    <w:p>
      <w:pPr>
        <w:pStyle w:val="TextBody"/>
        <w:bidi w:val="0"/>
        <w:spacing w:lineRule="auto" w:line="288" w:before="20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represents the Company’s restricted stock units (“RSU”) activity:</w:t>
      </w:r>
    </w:p>
    <w:tbl>
      <w:tblPr>
        <w:tblW w:w="6206" w:type="dxa"/>
        <w:jc w:val="left"/>
        <w:tblInd w:w="0" w:type="dxa"/>
        <w:tblLayout w:type="fixed"/>
        <w:tblCellMar>
          <w:top w:w="28" w:type="dxa"/>
          <w:left w:w="28" w:type="dxa"/>
          <w:bottom w:w="28" w:type="dxa"/>
          <w:right w:w="28" w:type="dxa"/>
        </w:tblCellMar>
      </w:tblPr>
      <w:tblGrid>
        <w:gridCol w:w="1434"/>
        <w:gridCol w:w="1261"/>
        <w:gridCol w:w="1265"/>
        <w:gridCol w:w="294"/>
        <w:gridCol w:w="294"/>
        <w:gridCol w:w="296"/>
        <w:gridCol w:w="109"/>
        <w:gridCol w:w="109"/>
        <w:gridCol w:w="109"/>
        <w:gridCol w:w="249"/>
        <w:gridCol w:w="604"/>
        <w:gridCol w:w="182"/>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(shares in thousands)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Grant Date </w:t>
              <w:br/>
              <w:t>Fair Value</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and outstanding as of June 30, 2026</w:t>
            </w:r>
          </w:p>
        </w:tc>
        <w:tc>
          <w:tcPr>
            <w:tcW w:w="88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during the three and six months ended June 30, 2026 was $1.0 million and $18.1 million, respectively. As of June 30, 2026, the Company’s unrecognized share-based compensation expense related to unvested RSUs was $20.1 million, which is expected to be recognized over a weighted average period of 1.3 years.</w:t>
      </w:r>
    </w:p>
    <w:p>
      <w:pPr>
        <w:pStyle w:val="TextBody"/>
        <w:bidi w:val="0"/>
        <w:spacing w:lineRule="auto" w:line="288" w:before="24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Market-Based Awards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represents the Company’s market-based restricted stock units (“MSU”) activity:</w:t>
      </w:r>
    </w:p>
    <w:tbl>
      <w:tblPr>
        <w:tblW w:w="5320" w:type="dxa"/>
        <w:jc w:val="left"/>
        <w:tblInd w:w="0" w:type="dxa"/>
        <w:tblLayout w:type="fixed"/>
        <w:tblCellMar>
          <w:top w:w="28" w:type="dxa"/>
          <w:left w:w="28" w:type="dxa"/>
          <w:bottom w:w="28" w:type="dxa"/>
          <w:right w:w="28" w:type="dxa"/>
        </w:tblCellMar>
      </w:tblPr>
      <w:tblGrid>
        <w:gridCol w:w="1113"/>
        <w:gridCol w:w="979"/>
        <w:gridCol w:w="982"/>
        <w:gridCol w:w="294"/>
        <w:gridCol w:w="294"/>
        <w:gridCol w:w="296"/>
        <w:gridCol w:w="109"/>
        <w:gridCol w:w="109"/>
        <w:gridCol w:w="109"/>
        <w:gridCol w:w="249"/>
        <w:gridCol w:w="604"/>
        <w:gridCol w:w="182"/>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(shares in thousands)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Grant Date </w:t>
              <w:br/>
              <w:t>Fair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MSUs vested during the three months ended June 30, 2026. The total fair value of MSUs that vested during the six months ended June 30, 2026 was $0.1 million. As of June 30, 2026, the Company’s unrecognized share-based compensation expense related to unvested MSUs was $0.4 million, which is expected to be recognized over a weighted average period of 1.2 years.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grant date fair value for the MSUs was estimated using a Monte Carlo simulation that incorporates option-pricing inputs covering the period. The following assumptions were used for the MSU grants issued during the six months ended June 30, 2026:</w:t>
      </w:r>
    </w:p>
    <w:tbl>
      <w:tblPr>
        <w:tblW w:w="5506" w:type="dxa"/>
        <w:jc w:val="left"/>
        <w:tblInd w:w="0" w:type="dxa"/>
        <w:tblLayout w:type="fixed"/>
        <w:tblCellMar>
          <w:top w:w="28" w:type="dxa"/>
          <w:left w:w="28" w:type="dxa"/>
          <w:bottom w:w="28" w:type="dxa"/>
          <w:right w:w="28" w:type="dxa"/>
        </w:tblCellMar>
      </w:tblPr>
      <w:tblGrid>
        <w:gridCol w:w="1733"/>
        <w:gridCol w:w="1521"/>
        <w:gridCol w:w="1530"/>
        <w:gridCol w:w="203"/>
        <w:gridCol w:w="203"/>
        <w:gridCol w:w="316"/>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time to performance period end date (in years)</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Performance-Based Awards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granted certain PSUs, which vest based on achievement of certain performance-based vesting conditions and subject to a three-year service condition. The number of shares that may ultimately vest with respect to each award may range from 0% up to 187.5% of the target number of shares based on achievement of certain performance-based vesting conditions related to stall counts and Adjusted EBITDA over a one-year period and a relative total stockholder return (“rTSR”) performance relative to the rTSR of a select group of companies in the Clean Edge Green Energy Index over a three-year period. The maximum number of PSUs that may vest is determined based on actual Company achievement with vesting subject to continuous service over a three-year period and achievement of the performance conditions. Compensation expense is recognized when performance targets are defined, the grant date is established, and it is considered probable that the performance objectives will be met. The table below represents the Company’s PSU activity under the 2021 Incentive Plan:</w:t>
      </w:r>
    </w:p>
    <w:tbl>
      <w:tblPr>
        <w:tblW w:w="5320" w:type="dxa"/>
        <w:jc w:val="left"/>
        <w:tblInd w:w="0" w:type="dxa"/>
        <w:tblLayout w:type="fixed"/>
        <w:tblCellMar>
          <w:top w:w="28" w:type="dxa"/>
          <w:left w:w="28" w:type="dxa"/>
          <w:bottom w:w="28" w:type="dxa"/>
          <w:right w:w="28" w:type="dxa"/>
        </w:tblCellMar>
      </w:tblPr>
      <w:tblGrid>
        <w:gridCol w:w="1113"/>
        <w:gridCol w:w="979"/>
        <w:gridCol w:w="982"/>
        <w:gridCol w:w="294"/>
        <w:gridCol w:w="294"/>
        <w:gridCol w:w="296"/>
        <w:gridCol w:w="109"/>
        <w:gridCol w:w="109"/>
        <w:gridCol w:w="109"/>
        <w:gridCol w:w="249"/>
        <w:gridCol w:w="604"/>
        <w:gridCol w:w="182"/>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(shares in thousands)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Grant Date </w:t>
              <w:br/>
              <w:t>Fair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2026</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PSUs that vested during the three and six months ended June 30, 2026. As of June 30, 2026, the Company’s unrecognized share-based compensation expense related to unvested PSUs was $3.0 million, which is expected to be recognized over a weighted average period of 1.4 years. The grant date fair value for PSUs was calculated based on the closing price of the Company’s Class A common stock on the grant date.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EVgo Management Holdings, LLC Incentive Units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Holdco Merger and prior to the CRIS Business Combination, all employees of EVgo Services employed at that time received share-based compensation in the form of units in EVgo Management Holdings, LLC (“EVgo Management”) designed to track incentive units issued by EVgo Holdings to EVgo Management (“Incentive Units”). The EVgo Holdings LLCA provides for the issuance of 1,000,000 Incentive Units. Each Incentive Unit grants a profits interest in EVgo Holdings, which can generally be described as a participation interest whose right to receive distributions is determined by the cumulative amount of distributions (cash or in-kind) received by each outstanding Capital Unit in EVgo Holdings up to and including the date of a distribution. Distributions to the Incentive Unit holders are made solely from cash or property of EVgo Holdings. Incentive Unit holders have no claim as to the cashflow or assets of EVgo Holdco or EVgo Services. Presented below is a summary of the activity of the Company’s Incentive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tbl>
      <w:tblPr>
        <w:tblW w:w="4912" w:type="dxa"/>
        <w:jc w:val="left"/>
        <w:tblInd w:w="0" w:type="dxa"/>
        <w:tblLayout w:type="fixed"/>
        <w:tblCellMar>
          <w:top w:w="28" w:type="dxa"/>
          <w:left w:w="28" w:type="dxa"/>
          <w:bottom w:w="28" w:type="dxa"/>
          <w:right w:w="28" w:type="dxa"/>
        </w:tblCellMar>
      </w:tblPr>
      <w:tblGrid>
        <w:gridCol w:w="1097"/>
        <w:gridCol w:w="964"/>
        <w:gridCol w:w="968"/>
        <w:gridCol w:w="180"/>
        <w:gridCol w:w="181"/>
        <w:gridCol w:w="161"/>
        <w:gridCol w:w="109"/>
        <w:gridCol w:w="109"/>
        <w:gridCol w:w="109"/>
        <w:gridCol w:w="222"/>
        <w:gridCol w:w="650"/>
        <w:gridCol w:w="162"/>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(units in thousands)</w:t>
            </w:r>
          </w:p>
        </w:tc>
        <w:tc>
          <w:tcPr>
            <w:tcW w:w="5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Grant Date </w:t>
              <w:br/>
              <w:t>Fair Value</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36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36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time vesting Incentive Units (“Time Vesting Incentive Units”) were fully vested in January 2025. As of June 30, 2026, the Company has recognized all share-based compensation expense related to Time Vesting Incentive Units. As of June 30, 2026, unrecognized share-based compensation expense related to unvested sale vesting Incentive Units (“Sale Vesting Incentive Units”) was $1.1 million, which is contingent upon the occurrence of a sale event.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Fixed-Value Awards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granted Fixed-Value Awards with an aggregate total dollar value of $7.1 million, under the 2021 Incentive Plan, which were granted to certain non-executive employees. The Fixed-Value Awards represent the right to receive a specified fixed dollar value in consideration for employee services and do not provide participants with ownership of the Company’s Class A common stock or any shareholder rights prior to settlement. Until settlement, the awards represent obligations of the Company.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award agreement, the Company may elect, prior to vesting, to settle vested awards in either cash or shares of the Company’s Class A common stock. If no such election is made prior to vesting, the awards will be settled in cash. If the Company elects share settlement, the participant will receive a variable number of shares of Class A common stock equal to the total dollar value divided by the 15-day volume-weighted average per-share price of the shares of Class A common stock during the 15 consecutive trading days ending one business day prior to the applicable vesting date (rounded down to the nearest whole number of shares). The awards vest over a three-year service period, with one-third vesting on February 1, 2027, and the remaining two-thirds vesting in equal quarterly installments every three months thereafter through the end of the vesting period. </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represents the Company’s Fixed-Value Awards activity:</w:t>
      </w:r>
    </w:p>
    <w:tbl>
      <w:tblPr>
        <w:tblW w:w="6074" w:type="dxa"/>
        <w:jc w:val="left"/>
        <w:tblInd w:w="0" w:type="dxa"/>
        <w:tblLayout w:type="fixed"/>
        <w:tblCellMar>
          <w:top w:w="28" w:type="dxa"/>
          <w:left w:w="28" w:type="dxa"/>
          <w:bottom w:w="28" w:type="dxa"/>
          <w:right w:w="28" w:type="dxa"/>
        </w:tblCellMar>
      </w:tblPr>
      <w:tblGrid>
        <w:gridCol w:w="1605"/>
        <w:gridCol w:w="1412"/>
        <w:gridCol w:w="1423"/>
        <w:gridCol w:w="350"/>
        <w:gridCol w:w="1026"/>
        <w:gridCol w:w="258"/>
      </w:tblGrid>
      <w:tr>
        <w:trPr/>
        <w:tc>
          <w:tcPr>
            <w:tcW w:w="16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Fixed-Value Awards</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8, 2026 (initial grant date)</w:t>
            </w:r>
          </w:p>
        </w:tc>
        <w:tc>
          <w:tcPr>
            <w:tcW w:w="3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25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June 30, 2026</w:t>
            </w:r>
          </w:p>
        </w:tc>
        <w:tc>
          <w:tcPr>
            <w:tcW w:w="35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25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unrecognized share-based compensation expense related to unvested Fixed-Value Awards was $6.7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16 — Net Loss Per Share</w:t>
      </w:r>
    </w:p>
    <w:p>
      <w:pPr>
        <w:pStyle w:val="TextBody"/>
        <w:bidi w:val="0"/>
        <w:spacing w:lineRule="auto" w:line="288" w:before="0" w:after="240"/>
        <w:ind w:left="0" w:right="0" w:firstLine="360"/>
        <w:jc w:val="both"/>
        <w:rPr/>
      </w:pPr>
      <w:r>
        <w:rPr>
          <w:rFonts w:ascii="Times New Roman;serif" w:hAnsi="Times New Roman;serif"/>
          <w:b w:val="false"/>
          <w:color w:val="000000"/>
          <w:sz w:val="20"/>
        </w:rPr>
        <w:t>Basic and diluted earnings per common share (</w:t>
      </w:r>
      <w:r>
        <w:rPr>
          <w:color w:val="000000"/>
          <w:shd w:fill="FFFFFF" w:val="clear"/>
        </w:rPr>
        <w:t>“</w:t>
      </w:r>
      <w:r>
        <w:rPr>
          <w:rFonts w:ascii="Times New Roman;serif" w:hAnsi="Times New Roman;serif"/>
          <w:b w:val="false"/>
          <w:color w:val="000000"/>
          <w:sz w:val="20"/>
        </w:rPr>
        <w:t>EPS</w:t>
      </w:r>
      <w:r>
        <w:rPr>
          <w:color w:val="000000"/>
          <w:shd w:fill="FFFFFF" w:val="clear"/>
        </w:rPr>
        <w:t>”</w:t>
      </w:r>
      <w:r>
        <w:rPr>
          <w:rFonts w:ascii="Times New Roman;serif" w:hAnsi="Times New Roman;serif"/>
          <w:b w:val="false"/>
          <w:color w:val="000000"/>
          <w:sz w:val="20"/>
        </w:rPr>
        <w:t>) are computed using the two-class method, which is an earnings allocation formula that determines EPS for each class of common stock and participating securities, according to dividends declared and participation rights in undistributed earnings. The Company’s unvested Earnout Shares are considered participating securities because they are legally issued on the grant date and holders have a non-forfeitable right to receive dividends.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EPS is generally calculated by dividing net income (loss) attributable to common stockholders by the weighted average number of common shares outstanding during the period. Diluted EPS is generally calculated by dividing net income (loss) attributable to common stockholders adjusted for the effects of any dilutive securities by the weighted average number of common shares outstanding plus the additional dilution for all potentially dilutive securities. During loss periods, diluted loss per share is based on the weighted average number of common shares outstanding (basic), because the inclusion of common stock equivalents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w:t>
      </w:r>
    </w:p>
    <w:tbl>
      <w:tblPr>
        <w:tblW w:w="10205" w:type="dxa"/>
        <w:jc w:val="center"/>
        <w:tblInd w:w="0" w:type="dxa"/>
        <w:tblLayout w:type="fixed"/>
        <w:tblCellMar>
          <w:top w:w="28" w:type="dxa"/>
          <w:left w:w="28" w:type="dxa"/>
          <w:bottom w:w="28" w:type="dxa"/>
          <w:right w:w="28" w:type="dxa"/>
        </w:tblCellMar>
      </w:tblPr>
      <w:tblGrid>
        <w:gridCol w:w="1845"/>
        <w:gridCol w:w="1471"/>
        <w:gridCol w:w="1483"/>
        <w:gridCol w:w="211"/>
        <w:gridCol w:w="774"/>
        <w:gridCol w:w="109"/>
        <w:gridCol w:w="109"/>
        <w:gridCol w:w="109"/>
        <w:gridCol w:w="109"/>
        <w:gridCol w:w="211"/>
        <w:gridCol w:w="774"/>
        <w:gridCol w:w="109"/>
        <w:gridCol w:w="109"/>
        <w:gridCol w:w="109"/>
        <w:gridCol w:w="109"/>
        <w:gridCol w:w="211"/>
        <w:gridCol w:w="774"/>
        <w:gridCol w:w="109"/>
        <w:gridCol w:w="109"/>
        <w:gridCol w:w="109"/>
        <w:gridCol w:w="109"/>
        <w:gridCol w:w="211"/>
        <w:gridCol w:w="774"/>
        <w:gridCol w:w="158"/>
      </w:tblGrid>
      <w:tr>
        <w:trPr/>
        <w:tc>
          <w:tcPr>
            <w:tcW w:w="184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redeemable noncontrolling interest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w:t>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(24,360)</w:t>
            </w:r>
          </w:p>
        </w:tc>
        <w:tc>
          <w:tcPr>
            <w:tcW w:w="15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participating securities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 basic and diluted</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(24,229)</w:t>
            </w:r>
          </w:p>
        </w:tc>
        <w:tc>
          <w:tcPr>
            <w:tcW w:w="15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Class A common stock outstanding</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unvested Earnout Shares outstanding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Class A common stock outstanding, basic and diluted</w:t>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140,364 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133,484 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139,153 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132,644 </w:t>
            </w:r>
          </w:p>
        </w:tc>
        <w:tc>
          <w:tcPr>
            <w:tcW w:w="15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consist of the Company’s Public Warrants, Private Placement Warrants, RSUs, MSUs, PSUs, stock options and unvested Earnout Shares. For the periods in which EPS is presented, the Company excluded the following potential shares, presented based on amounts outstanding at each period end, from the computation of diluted net loss per share attributable to Class A common stockholders since their impact would have been antidilutive:</w:t>
      </w:r>
    </w:p>
    <w:tbl>
      <w:tblPr>
        <w:tblW w:w="5615" w:type="dxa"/>
        <w:jc w:val="left"/>
        <w:tblInd w:w="0" w:type="dxa"/>
        <w:tblLayout w:type="fixed"/>
        <w:tblCellMar>
          <w:top w:w="28" w:type="dxa"/>
          <w:left w:w="28" w:type="dxa"/>
          <w:bottom w:w="28" w:type="dxa"/>
          <w:right w:w="28" w:type="dxa"/>
        </w:tblCellMar>
      </w:tblPr>
      <w:tblGrid>
        <w:gridCol w:w="847"/>
        <w:gridCol w:w="745"/>
        <w:gridCol w:w="747"/>
        <w:gridCol w:w="500"/>
        <w:gridCol w:w="307"/>
        <w:gridCol w:w="307"/>
        <w:gridCol w:w="307"/>
        <w:gridCol w:w="307"/>
        <w:gridCol w:w="307"/>
        <w:gridCol w:w="500"/>
        <w:gridCol w:w="307"/>
        <w:gridCol w:w="43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2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8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14,949 </w:t>
            </w:r>
          </w:p>
        </w:tc>
        <w:tc>
          <w:tcPr>
            <w:tcW w:w="30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14,949 </w:t>
            </w:r>
          </w:p>
        </w:tc>
        <w:tc>
          <w:tcPr>
            <w:tcW w:w="43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MSUs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35,406 </w:t>
            </w:r>
          </w:p>
        </w:tc>
        <w:tc>
          <w:tcPr>
            <w:tcW w:w="30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37,699 </w:t>
            </w:r>
          </w:p>
        </w:tc>
        <w:tc>
          <w:tcPr>
            <w:tcW w:w="4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718,750 unvested Earnout Shares were excluded from the computation of diluted EPS since the volume-weighted average price of the share did not equal or exceed at least $15.00 as of June 30, 2026 and 2025. There were 1.0 million MSUs that were excluded from the computation of diluted EPS as their market vesting conditions had not yet been met as of June 30, 2026 and 2025. There were 0.7 million and 1.5 million PSUs that were excluded from the computation of diluted EPS as their performance conditions had not yet been met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17 — Redeemable Noncontrolling Interest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EVgo Holdings held 172,800,000 EVgo OpCo Units in EVgo OpCo (reflecting the exclusion of 718,750 shares of Class A common stock held by other entities that were subject to possible forfeiture) and the same number of shares of Class B common stock, representing a 55.2% and 56.2% interest, respectively, in the Company. EVgo Holdings is entitled to one vote per share of Class B common stock but is not entitled to receive dividends or any assets upon liquidation, dissolution, distribution or winding-up of the Company. Each EVgo OpCo Unit is redeemable, together with one share of Class B common stock, for either one share of Class A common stock or, at EVgo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OpCo’s election, the cash equivalent market value of one share of Class A common stock in accordance with the terms of the EVgo OpCo A&amp;R LLC Agreement.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redeemable noncontrolling interest held by EVgo Holdings in EVgo OpCo, through its ownership of EVgo OpCo Units, was initially measured at its carrying amount on the CRIS Close Date. Net income or loss and other comprehensive income or loss are attributed to the redeemable noncontrolling interest during each reporting period based on its ownership percentage, as appropriate. Subsequent to that, the redeemable noncontrolling interest is measured at its fair value (i.e., based on the Class A common stock price) at the end of each reporting period, exclusive of the par value of the related Class B common stock, with the remeasurement amount being no less than the initial carrying amount, as adjusted for the redeemable noncontrolling interest’s share of net income or loss and other comprehensive income or loss. The offset of any fair value adjustment is recorded to equity, with no impact to net income (loss).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in Note 1, EVgo entered into a SPA with EVgo OpCo and EVgo Holdings. Pursuant to the SPA, EVgo Inc. and EVgo OpCo agreed to redeem from EVgo Holdings 23,000,000 units of EVgo OpCo Units and 23,000,000 shares of Class B common stock. In exchange for the EVgo OpCo Units and shares of Class B common stock, EVgo Inc. and EVgo OpCo agreed to transfer 23,000,000 newly issued shares of Class A common stock to EVgo Holdings. The exchange was effected through the Secondary Offering, which closed on December 18,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changes in the redeemable noncontrolling interest:</w:t>
      </w:r>
    </w:p>
    <w:p>
      <w:pPr>
        <w:pStyle w:val="TextBody"/>
        <w:bidi w:val="0"/>
        <w:spacing w:before="0" w:after="0"/>
        <w:jc w:val="both"/>
        <w:rPr/>
      </w:pPr>
      <w:r>
        <w:rPr/>
      </w:r>
    </w:p>
    <w:tbl>
      <w:tblPr>
        <w:tblW w:w="8930" w:type="dxa"/>
        <w:jc w:val="left"/>
        <w:tblInd w:w="0" w:type="dxa"/>
        <w:tblLayout w:type="fixed"/>
        <w:tblCellMar>
          <w:top w:w="28" w:type="dxa"/>
          <w:left w:w="28" w:type="dxa"/>
          <w:bottom w:w="28" w:type="dxa"/>
          <w:right w:w="28" w:type="dxa"/>
        </w:tblCellMar>
      </w:tblPr>
      <w:tblGrid>
        <w:gridCol w:w="2803"/>
        <w:gridCol w:w="2465"/>
        <w:gridCol w:w="2471"/>
        <w:gridCol w:w="211"/>
        <w:gridCol w:w="826"/>
        <w:gridCol w:w="154"/>
      </w:tblGrid>
      <w:tr>
        <w:trPr/>
        <w:tc>
          <w:tcPr>
            <w:tcW w:w="2803"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attributable to redeemable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redeemable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interest rate collar attributable to redeemable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revise redeemable noncontrolling interest to its redemption value at period-end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330,048 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Note 18 — Subsequent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entered into a definitive agreement to transfer EVgo OpCo’s 2025 and 2026 30C income tax credits. Proceeds for the 2025 credits are expected in September 2026 and proceeds for the 2026 credits are expected in or around April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provide information that we believe is relevant to an assessment and understanding of our consolidated results of operations and financial condition. The discussion should be read in conjunction with our unaudited condensed consolidated financial statements and the related notes thereto as of June 30, 2026 and December 31, 2025 and for the three and six months ended June 30, 2026 and 2025 included elsewhere in this Quarterly Report and the audited consolidated financial statements and related notes thereto as of and for the years ended December 31, 2025 and 2024 contained in the Annual Report. In addition to historical information, this discussion contains forward-looking statements that involve numerous risks, uncertainties, and assumptions that could cause our actual results to differ materially from our expectations due to a number of factors, including those discussed in the sections entitled “Risk Factors” and “Cautionary Statement Regarding Forward-Looking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one of the nation’s leading public EV fast charging providers. With more than 1,200 fast charging stations across over 47 states, we strategically deploy localized and accessible charging infrastructure by partnering with leading businesses across the U.S., including retailers, grocery stores, restaurants, shopping centers, gas stations, rideshare operators and autonomous vehicle companies. At our Innovation Lab, we perform extensive interoperability testing and have ongoing technical collaborations with leading automakers and industry partners to advance the EV charging industry and deliver a seamless charging experience.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foundation of our business is building, owning and operating EV fast charging sites that deliver charging to EVs driven by individuals, commercial drivers, and fleet operators. Our core revenue stream is from the provision of charging services for EVs of all types on our network. In addition, a variety of business-to-business commercial relationships provide us with revenue or cash payments based on commitments to build new infrastructure, provide guaranteed access to charging, and provide marketing, data and software-driven services. We also earn revenue from the sale of regulatory credits generated through sales of electricity and our operation and ownership of our DCFC network. We believe this combination of revenue streams can drive long-term margin expansion and customer retention.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Specifically, charging network revenue is earned through the following streams: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Charging Revenue,</w:t>
      </w:r>
      <w:r>
        <w:rPr>
          <w:color w:val="000000"/>
        </w:rPr>
        <w:t xml:space="preserve"> </w:t>
      </w:r>
      <w:r>
        <w:rPr>
          <w:rFonts w:ascii="Times New Roman;serif" w:hAnsi="Times New Roman;serif"/>
          <w:b w:val="false"/>
          <w:color w:val="000000"/>
          <w:sz w:val="20"/>
        </w:rPr>
        <w:t>Retail: We sell electricity directly to drivers who access our publicly available networked chargers. Various pricing plans exist for customers and drivers have the choice to charge through a subscription offering or a variety of pay-as-you-go plans. Drivers locate the chargers through our mobile application, their vehicle’s in-dash navigation system, or third-party databases, such as PlugShare, that license charger-location information from us. Our chargers are generally installed in parking spaces owned or leased by commercial or public-entity Site Hosts that desire to provide charging services at their respective locations. Commercial Site Hosts include retail and grocery stores, offices, medical complexes, airports and convenience stores. Our offerings are well aligned with the goals of Site Hosts, as many commercial businesses view charging capabilities as essential to attracting tenants, employees, customers and visitors, and achieving sustainability goals. Site Hosts are generally able to obtain these benefits at no cost when partnering with us through our owner and/or operator model, in which we are responsible for the development, construction, and operation of chargers located on Site Hosts’ properties. In many cases, Site Hosts will earn revenue from license payments in the form of parking space rental fees that we pay in exchange for use of the site.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Charging Revenue,</w:t>
      </w:r>
      <w:r>
        <w:rPr>
          <w:color w:val="000000"/>
        </w:rPr>
        <w:t xml:space="preserve"> </w:t>
      </w:r>
      <w:r>
        <w:rPr>
          <w:rFonts w:ascii="Times New Roman;serif" w:hAnsi="Times New Roman;serif"/>
          <w:b w:val="false"/>
          <w:color w:val="000000"/>
          <w:sz w:val="20"/>
        </w:rPr>
        <w:t>Commercial: High volume fleet customers, such as transportation networking companies or delivery services and rideshare, can access our charging infrastructure through our vast public network. Pricing for charging services is most often negotiated directly with the fleet owner based on the business needs and usage patterns of the fleet. In these arrangements, we contract with and bill either the fleet owner directly or an individual fleet driver utilizing our chargers.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Charging Revenue,</w:t>
      </w:r>
      <w:r>
        <w:rPr>
          <w:color w:val="000000"/>
        </w:rPr>
        <w:t xml:space="preserve"> </w:t>
      </w:r>
      <w:r>
        <w:rPr>
          <w:rFonts w:ascii="Times New Roman;serif" w:hAnsi="Times New Roman;serif"/>
          <w:b w:val="false"/>
          <w:color w:val="000000"/>
          <w:sz w:val="20"/>
        </w:rPr>
        <w:t>OEM: We offer OEM charging programs with revenue models to meet a wide variety of OEM objectives related to the availability of charging infrastructure and the provision of charging services for EV drivers. We contract directly with OEMs to provide charging services to drivers who have purchased or leased such OEMs’ EVs and who access our public charger network. Other related services currently provided to OEMs by us include co-marketing, data services and digital application services. Our OEM relationships are a core customer-acquisition channel.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Regulatory Credit Sales:</w:t>
      </w:r>
      <w:r>
        <w:rPr>
          <w:color w:val="000000"/>
        </w:rPr>
        <w:t xml:space="preserve"> </w:t>
      </w:r>
      <w:r>
        <w:rPr>
          <w:rFonts w:ascii="Times New Roman;serif" w:hAnsi="Times New Roman;serif"/>
          <w:b w:val="false"/>
          <w:color w:val="000000"/>
          <w:sz w:val="20"/>
        </w:rPr>
        <w:t>As a charging station owner and operator, we earn regulatory credits, such as LCFS credits and other regulatory credits, in states where such programs are enacted currently, including the Fast Charging Infrastructure program in California. These credits are generated through charging station operations based on the volume of kWh sold. We earn additional revenue through the sale of these credits to buyers obligated to purchase the credits to comply with the program mandates.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Network Revenue,</w:t>
      </w:r>
      <w:r>
        <w:rPr>
          <w:color w:val="000000"/>
        </w:rPr>
        <w:t xml:space="preserve"> </w:t>
      </w:r>
      <w:r>
        <w:rPr>
          <w:rFonts w:ascii="Times New Roman;serif" w:hAnsi="Times New Roman;serif"/>
          <w:b w:val="false"/>
          <w:color w:val="000000"/>
          <w:sz w:val="20"/>
        </w:rPr>
        <w:t>OEM: This revenue stream represents revenue related to contracts that have significant charger infrastructure build programs, which represent set-up costs under ASC 606. Proceeds from these contracts are allocated to performance obligations including branding, memberships, reservations and the expiration of unused charging credits. Revenues from branding are recognized over time as the services are performed and measurement is recognized straight-line over the performance period. For memberships and reservations, revenue is recognized over time and measured over the period on a straight-line basis as performance obligations are met. Any unused charging credits are recognized as breakage using the proportional method or, for programs where there is not enough information to determine the pattern of rights exercised by the customer, the remote method.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non-charging network revenue from the following streams: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eXtend Revenue:</w:t>
      </w:r>
      <w:r>
        <w:rPr>
          <w:color w:val="000000"/>
        </w:rPr>
        <w:t xml:space="preserve"> </w:t>
      </w:r>
      <w:r>
        <w:rPr>
          <w:rFonts w:ascii="Times New Roman;serif" w:hAnsi="Times New Roman;serif"/>
          <w:b w:val="false"/>
          <w:color w:val="000000"/>
          <w:sz w:val="20"/>
        </w:rPr>
        <w:t>Through EVgo eXtend, we provide hardware, design, and construction services for charging sites, as well as ongoing operations, maintenance and networking and software integration solutions, while customers purchase and retain ownership of the charging assets. Existing customers with EVgo accounts are able to access eXtend chargers through our mobile app, among other options. For some EVgo eXtend customers, we also provide grant application support and related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AV and ancillary Revenue:</w:t>
      </w:r>
      <w:r>
        <w:rPr>
          <w:color w:val="000000"/>
        </w:rPr>
        <w:t xml:space="preserve"> </w:t>
      </w:r>
      <w:r>
        <w:rPr>
          <w:rFonts w:ascii="Times New Roman;serif" w:hAnsi="Times New Roman;serif"/>
          <w:b w:val="false"/>
          <w:color w:val="000000"/>
          <w:sz w:val="20"/>
        </w:rPr>
        <w:t>In addition to offering access to our public network, we offer dedicated charging solutions to autonomous vehicle and other fleets. Through our fleet offerings, we develop, build, and service charging assets for fleets, including through off-site charging hubs that we have secured without requiring a fleet to directly incur capital expenditures. We offer a variety of pricing models for dedicated charging solutions, including a mix of volumetric commitments and variable and fixed payments for provision of charging services. We enter into operating and sales-type leases with our dedicated fleet customers. We also offer a variety of software-driven digital, development and operations services to customers. These offerings currently include customization of digital applications, charging data integration, access to chargers behind parking lot or garage pay gates, microtargeted advertising and charging reservations as well as all services provided under PlugShare such as data, research and advertising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Key Components of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is generated across various business lines. The majority of our revenue is generated from the sale of charging services, which are comprised of retail, commercial and OEM business lines, and our eXtend offering. In addition, we generate AV and ancillary revenue through services provided to dedicated fleets, which includes both operating and sales-type lease structures, the sale of data services and consumer retail services. We also offer network services to OEM customers, including branding and memberships. Finally, as a result of owning and operating the EV charging stations, we earn regulatory credits such as LCFS credits, which are sold to generate additional revenue.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Charging Network. </w:t>
      </w:r>
      <w:r>
        <w:rPr>
          <w:rFonts w:ascii="Times New Roman;serif" w:hAnsi="Times New Roman;serif"/>
          <w:b w:val="false"/>
          <w:color w:val="000000"/>
          <w:sz w:val="20"/>
        </w:rPr>
        <w:t>Charging network cost of sales consists primarily of energy usage fees, site operating and maintenance expenses, network charges, warranty and repair services, and site lease and related expenses associated with the EVgo Public Network.</w:t>
      </w:r>
    </w:p>
    <w:p>
      <w:pPr>
        <w:pStyle w:val="TextBody"/>
        <w:bidi w:val="0"/>
        <w:spacing w:lineRule="auto" w:line="288" w:before="280" w:after="283"/>
        <w:ind w:left="0" w:right="0" w:firstLine="360"/>
        <w:jc w:val="both"/>
        <w:rPr/>
      </w:pPr>
      <w:r>
        <w:rPr>
          <w:rFonts w:ascii="Times New Roman;serif" w:hAnsi="Times New Roman;serif"/>
          <w:b w:val="false"/>
          <w:i/>
          <w:color w:val="000000"/>
          <w:sz w:val="20"/>
        </w:rPr>
        <w:t xml:space="preserve">Other. </w:t>
      </w:r>
      <w:r>
        <w:rPr>
          <w:rFonts w:ascii="Times New Roman;serif" w:hAnsi="Times New Roman;serif"/>
          <w:b w:val="false"/>
          <w:color w:val="000000"/>
          <w:sz w:val="20"/>
        </w:rPr>
        <w:t>Other cost of sales is primarily related to costs associated with the eXtend and dedicated charging businesses, the sale of data services, and other ancillary services.</w:t>
      </w:r>
    </w:p>
    <w:p>
      <w:pPr>
        <w:pStyle w:val="TextBody"/>
        <w:bidi w:val="0"/>
        <w:spacing w:lineRule="auto" w:line="288" w:before="280" w:after="240"/>
        <w:ind w:left="0" w:right="0" w:firstLine="360"/>
        <w:jc w:val="both"/>
        <w:rPr/>
      </w:pPr>
      <w:r>
        <w:rPr>
          <w:rFonts w:ascii="Times New Roman;serif" w:hAnsi="Times New Roman;serif"/>
          <w:b w:val="false"/>
          <w:i/>
          <w:color w:val="000000"/>
          <w:sz w:val="20"/>
        </w:rPr>
        <w:t xml:space="preserve">Depreciation, Net of Capital-Build Amortization. </w:t>
      </w:r>
      <w:r>
        <w:rPr>
          <w:rFonts w:ascii="Times New Roman;serif" w:hAnsi="Times New Roman;serif"/>
          <w:b w:val="false"/>
          <w:color w:val="000000"/>
          <w:sz w:val="20"/>
        </w:rPr>
        <w:t>Depreciation, net of capital-build amortization, consists of depreciation related to property and equipment associated with charging equipment and installation and is partially offset by the amortization of capital-build liabilities associated with third-party funding received for charging stations and other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Gross Profit (Loss) and Gross Margin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(loss) consists of our revenue less our total cost of sales. Gross margin is gross profit (loss) as a percentage of revenue.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primarily consist of payroll and related personnel expenses, IT and office services, customer service, office rent expense and professional services. We expect our general and administrative expenses to increase in absolute dollars as we continue to grow our business. We also expect to continue to incur additional expenses related to compliance and reporting obligations pursuant to the rules and regulations of the SEC and debt agreements, general insurance and directors’ and officers’ insurance, investor relations and other professional services.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Depreciation, Amortization and Accretion. </w:t>
      </w:r>
      <w:r>
        <w:rPr>
          <w:rFonts w:ascii="Times New Roman;serif" w:hAnsi="Times New Roman;serif"/>
          <w:b w:val="false"/>
          <w:color w:val="000000"/>
          <w:sz w:val="20"/>
        </w:rPr>
        <w:t>Depreciation, amortization and accretion consists of depreciation related to property, equipment and software not associated with charging equipment and, therefore, not included in the depreciation, net of capital-build amortization expenses recorded in cost of sales. This also includes amortization of intangible assets and accretion related to our asset retirement obligations.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Profit (Loss) and Operating Margin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profit (loss) consists of our gross profit (loss) less total operating expenses. Operating margin is operating profit (loss) as a percentage of revenue.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expense from the amortization of deferred debt issuance costs and interest expense incurred on long-term debt, and is presented net of amounts capitalized to property and equipment.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earned on cash, cash equivalents and restricted cash.</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 in Fair Values of Warrant and Earnout Liabilities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the fair values of the warrant and earnout liabilities reflects the mark-to-market adjustments associated with Warrants to purchase shares of our common stock and earnout liabilities for each reporting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consists primarily of income taxes related to federal and state jurisdictions where business is conducted related to our ownership in EVgo OpCo.</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Earnings (Loss) Attributable to Redeemable Noncontrolling Interest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earnings (loss) attributable to redeemable noncontrolling interest represents the share of net earnings or loss that is attributable to the holder of our Class B common stock, which is EVgo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Key Performance Indicators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uses several performance metrics to manage the business and evaluate financial and operating performance: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Network Throughput on the EVgo Public Network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Network throughput represents the total amount of GWh consumed on the EVgo Public Network. We typically monitor GWh sales by three components: business line, customer and customer type. We believe monitoring of component trends and contributions is the appropriate way to monitor and measure business-related health.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Number of DC Stalls on the EVgo Public Network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One stall can charge one vehicle at a time. There are certain configurations of our sites where one DC charger is capable of charging only one vehicle at a time; all chargers at such a site are counted as one stall per one charger. There are certain configurations of our sites where one DC charger is capable of charging two vehicles simultaneously; all chargers at such a site are counted as two stalls per one charger.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network throughput and the number of DC Stalls on the EVgo Public Network:</w:t>
      </w:r>
    </w:p>
    <w:tbl>
      <w:tblPr>
        <w:tblW w:w="8497" w:type="dxa"/>
        <w:jc w:val="left"/>
        <w:tblInd w:w="0" w:type="dxa"/>
        <w:tblLayout w:type="fixed"/>
        <w:tblCellMar>
          <w:top w:w="28" w:type="dxa"/>
          <w:left w:w="28" w:type="dxa"/>
          <w:bottom w:w="28" w:type="dxa"/>
          <w:right w:w="28" w:type="dxa"/>
        </w:tblCellMar>
      </w:tblPr>
      <w:tblGrid>
        <w:gridCol w:w="2508"/>
        <w:gridCol w:w="2207"/>
        <w:gridCol w:w="2214"/>
        <w:gridCol w:w="232"/>
        <w:gridCol w:w="234"/>
        <w:gridCol w:w="156"/>
        <w:gridCol w:w="109"/>
        <w:gridCol w:w="109"/>
        <w:gridCol w:w="109"/>
        <w:gridCol w:w="203"/>
        <w:gridCol w:w="203"/>
        <w:gridCol w:w="213"/>
      </w:tblGrid>
      <w:tr>
        <w:trPr/>
        <w:tc>
          <w:tcPr>
            <w:tcW w:w="2508"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Network throughput (GWh) on the EVgo Public Network for the three months ended</w:t>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Network throughput (GWh) on the EVgo Public Network for the six months ended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DC Stalls on the EVgo Owned Public Network (in thousands) as of</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Factors Affecting Our Operating Results</w:t>
      </w:r>
    </w:p>
    <w:p>
      <w:pPr>
        <w:pStyle w:val="TextBody"/>
        <w:bidi w:val="0"/>
        <w:spacing w:lineRule="auto" w:line="288" w:before="0" w:after="240"/>
        <w:ind w:left="0" w:right="0" w:firstLine="360"/>
        <w:jc w:val="both"/>
        <w:rPr/>
      </w:pPr>
      <w:r>
        <w:rPr>
          <w:rFonts w:ascii="Times New Roman;serif" w:hAnsi="Times New Roman;serif"/>
          <w:b w:val="false"/>
          <w:color w:val="000000"/>
          <w:sz w:val="20"/>
        </w:rPr>
        <w:t>We believe that our performance and future success depend on a number of factors, including those discussed below and in Part II, Item 1A, “</w:t>
      </w:r>
      <w:r>
        <w:rPr>
          <w:rFonts w:ascii="Times New Roman;serif" w:hAnsi="Times New Roman;serif"/>
          <w:b w:val="false"/>
          <w:i/>
          <w:color w:val="000000"/>
          <w:sz w:val="20"/>
        </w:rPr>
        <w:t>Risk Factors.</w:t>
      </w:r>
      <w:r>
        <w:rPr>
          <w:color w:val="00000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 Sales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growth is largely a result of the adoption and continued acceptance and usage of passenger and commercial EVs, which we believe drives the demand for electricity, charging infrastructure and charging services. The market for EVs is still rapidly evolving and, although demand for EVs has grown in recent years, there is no guarantee of such future demand. Third-party industry forecasts for the number of battery electric vehicles in operation in the United States have been revised downward over the past several quarters, reflecting, among other factors, the impact of changes in government incentive programs, including the enactment of the OBBBA and the termination of the 30C income tax credit. The pace of new customer additions to our network has also moderated in recent quarters, consistent with these broader market trends. While BEV adoption is expected to continue to grow, the pace of that growth may be slower than previously anticipated, which could affect the near-term demand for our charging services and the rate at which we realize expected returns on our infrastructure investments. Factors impacting the adoption of EVs include perceptions about EV features, quality, safety, performance and cost; perceptions about the limited range over which EVs may be driven on a single battery charge; availability of services for EVs; consumers’ perception about the convenience, speed, reliability and cost of EV charging; volatility in the price of gasoline and diesel; EV supply chain shortages and disruptions including, but not limited to, availability of certain components (e.g., semiconductors and critical raw materials necessary for the production of EVs and EV batteries), the ability of EV OEMs to ramp-up EV production and/or allocate sufficient quantities of EV models to the U.S. market; domestic content requirements or other policy constraints; availability of batteries and battery materials; availability, cost and desirability of other alternative fuel vehicles, including plug-in hybrid EVs and high fuel-economy gasoline and diesel-powered vehicles; increases in fuel efficiency; regulations applicable to vehicle emissions and fuel economy; and availability of federal and state credits for EV purchases. In addition, macroeconomic factors could impact demand for EVs, particularly since the sales price of EVs can be more expensive than traditional gasoline-powered vehicles. If the market for EVs does not develop as expected or if there is any slowdown or delay in overall adoption of EVs, our business, financial condition and results of operations may be materially and adversely affected.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Electrification of Fleets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competition in the emerging fleet electrification segment, including from certain fleet customers who may opt to install and own charging equipment on their property; however, we believe our unique set of offerings to fleets and our existing charging network position us advantageously to win business from fleets. Fleet owners are generally more sensitive to the total cost of ownership of a vehicle than private-vehicle owners. As such, electrification of vehicle fleets may occur more slowly or more rapidly than management forecasts based on the cost to purchase, operate and maintain EVs and the general availability of such vehicles relative to those of internal combustion engine vehicles. Our ability and our competitors’ ability to offer competitive charging services and value-added ancillary services may impact the pace at which fleets electrify and may impact our ability to capture market share in fleets. Additionally, federal, state and local government support and regulations directed at fleets (or lack thereof) may accelerate or delay fleet electrification and increase or reduce our business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EV charging industry is increasingly competitive. The principal competitive factors in the industry include charger count, locations, accessibility and reliability; charger connectivity to EVs and ability to charge widely adopted standards; speed of charging relative to expected vehicle dwell times at a location; DCFC network reliability, scale and local density; software-enabled service offerings and overall customer experience; operator brand, track record and reputation; access to equipment vendors and service providers; policy incentives; and pricing. Existing competitors may expand their product offerings and sales strategies, new competitors may enter the market and certain fleet customers may choose to install and operate their own charging infrastructure. If our market share decreases due to increased competition, our revenue and ability to generate profits in the future may be impacted.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Geopolitical and Macroeconomic Environment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administration has initiated, and may continue to initiate, a series of new policies, including but not limited to tariffs and global trade initiatives, tax laws and environmental policies, which may impact our business. During the last several years, the global economy has experienced disruption and sustained volatility due to a number of factors, such as the conflict in Ukraine and tensions in the Middle East, which have led to disruptions, instability and volatility in global markets and industries and will likely continue to lead to geopolitical instability, market uncertainty and supply disruptions.</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uncertainties in trade policy, including the implementation of tariffs and the resulting creation or expansion of potential trade wars between countries in which we source our components, and recent inflationary pressures have resulted in, and may continue to result in, increases to the costs of charging equipment and personnel, which could in turn cause capital expenditures and operating costs to rise. We continue to analyze the impact that existing tariffs have on our business and actions we can take to minimize their impact, while also monitoring for any changes to such tariffs or implementation of potential new tariffs. We remain vigilant of factors that may have the effect of raising the cost of capital and depressing economic growth.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economic environment remains uncertain, and the extent to which our operating and financial results for future periods will be impacted by the conflict in Ukraine and tensions in the Middle East region, rates of inflation, instability in the financial services sector, supply-chain disruptions, governmental implementation of tariffs or other changes in restrictions on trade and efforts to reduce inflation and any recession will largely depend on future developments, which are highly uncertain and cannot be reasonably estimated at this time. In addition, continued long lead times of grid equipment such as transformers may impact our development cycle.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Government Mandates, Incentives and Programs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government and some state and local governments provide incentives to EV charging station owners in the form of rebates, tax credits, low-cost funding and other financial incentives, such as payments for regulatory credits. Several entities offer incentives to offset vehicle purchases as well. These governmental rebates, tax credits and other financial incentives significantly lower the effective price of EVs and EV charging stations. However, these incentives may expire on a particular date, end when the allocated funding is exhausted, or may be reduced or terminated as a matter of regulatory or legislative policy, which if pursued, could impact the availability or value of these grants and/or tax provisions. Any reduction in rebates, tax credits or other financial incentives available to EVs or EV charging stations could negatively affect the EV market and adversely impact our business operations and expansion potential.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OBBBA, signed into law on July 4, 2025, makes permanent key elements of the Tax Cuts and Jobs Act of 2017, including 100% bonus depreciation, domestic research cost expensing, and the business interest expense limitation. We currently do not expect the OBBBA to have a material impact on our condensed consolidated financial statements, even when considering the sunset of the 30C income tax credit for EV charging to take place on June 30, 2026 as a result of its passage.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legislative or regulatory actions under the current administration of 119th Congress, if pursued, could impact the availability or value of these incentives. Further, the impact government EV initiatives, including regulatory requirements and restrictions that may impact our ability and our competitors' ability to take advantage of such initiatives, cannot be known with any certainty at this time, and we may not reap any or all of the expected benefits of these initiatives if material changes are made to these laws or the regulations, which could negatively affect the EV market and adversely impact our business operations and expansion potential.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 number of states offer various rebates, grants and tax credits to incentivize both EV and EV supply equipment purchases. In many states, utilities also offer rebates or other incentive programs, typically “make-ready” programs, to incentivize the development of EV charging infrastructure.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Technology Risks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numerous internally developed technologies, including through a joint development agreement with Delta, and externally sourced hardware and software technologies to operate our network and generate earnings. We engage a variety of third-party vendors for non-proprietary hardware and software components and software-as-a-service elements. As a result of any defects, errors, bugs, malfunctions, or excessive wear to these hardware and/or software components, our stall availability and/or performance may be impacted, which could materially and adversely affect our business, financial condition and results of operations. Our ability to continue to integrate our technology stack with technological advances in the wider EV ecosystem including EV model characteristics, charging standards, charging hardware, software and battery chemistries and value-added customer services will determine our sustained competitiveness in offering charging services. There is a risk that some or all of the components of the EV technology ecosystem will become obsolete and that we will be required to make significant investments to continue to effectively operate our business. For example, SAE International, a standards-developing organization for automotive engineering professionals, recently approved the SAE J3400 industry standard (also known as NACS) for production. We began adding NACS connectors to our fast-charging network in early 2025 and intend to continue this effort; however, continued integration of NACS connectors in future charger installations and on certain existing chargers will require investment and management attention to select chargers which properly balance expectations of existing customers while attracting new users who prefer to use NACS connectors.</w:t>
      </w:r>
    </w:p>
    <w:p>
      <w:pPr>
        <w:pStyle w:val="TextBody"/>
        <w:bidi w:val="0"/>
        <w:spacing w:lineRule="auto" w:line="288" w:before="2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our business model is well-positioned to enable us to remain technology-, vendor- and OEM-agnostic over time and allow the business to remain competitive regardless of long-term technological shifts in EVs, batteries or modes of charging.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of Regulatory Credits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revenue from selling regulatory credits earned for participating in LCFS programs, or other similar carbon or emissions trading schemes, in various jurisdictions in the U.S. The sale of these credits is based on market prices. These credits are exposed to various market and supply and demand dynamics which can drive price volatility and which are difficult to predict. Price fluctuations in credits may have a material effect on future results of operations. The availability of such credits depends on continued governmental support for these programs. If these programs are modified, reduced or eliminated, our ability to generate this revenue in the future would be adversely impacted. We are currently monitoring the impact of a set of amendments to strengthen California’s LCFS program, which went into effect on July 1, 2025. In addition to California, we are also monitoring implementation of New Mexico’s program and a number of Clean Fuels proposals being contemplated in state legislatures across the U.S.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EV charging is subject to seasonality related to driving, travel and economic activity that impacts demand for charging. For example, Americans typically drive more miles in the summer months and fewer in the winter months, especially in January and February. Our rideshare drivers also typically experience lower activity levels in the first quarter. Lastly, we experience seasonality in our electric costs as many electric utilities charge higher rates in the summer (typically defined as a four-month period starting in June), than the rest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Results of Operations for the Three Months Ended June 30, 2026 and 2025</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results of operations:</w:t>
      </w:r>
    </w:p>
    <w:tbl>
      <w:tblPr>
        <w:tblW w:w="10205" w:type="dxa"/>
        <w:jc w:val="left"/>
        <w:tblInd w:w="0" w:type="dxa"/>
        <w:tblLayout w:type="fixed"/>
        <w:tblCellMar>
          <w:top w:w="28" w:type="dxa"/>
          <w:left w:w="28" w:type="dxa"/>
          <w:bottom w:w="28" w:type="dxa"/>
          <w:right w:w="28" w:type="dxa"/>
        </w:tblCellMar>
      </w:tblPr>
      <w:tblGrid>
        <w:gridCol w:w="1713"/>
        <w:gridCol w:w="1410"/>
        <w:gridCol w:w="1416"/>
        <w:gridCol w:w="109"/>
        <w:gridCol w:w="109"/>
        <w:gridCol w:w="109"/>
        <w:gridCol w:w="211"/>
        <w:gridCol w:w="779"/>
        <w:gridCol w:w="271"/>
        <w:gridCol w:w="109"/>
        <w:gridCol w:w="109"/>
        <w:gridCol w:w="109"/>
        <w:gridCol w:w="211"/>
        <w:gridCol w:w="779"/>
        <w:gridCol w:w="271"/>
        <w:gridCol w:w="109"/>
        <w:gridCol w:w="109"/>
        <w:gridCol w:w="109"/>
        <w:gridCol w:w="211"/>
        <w:gridCol w:w="674"/>
        <w:gridCol w:w="109"/>
        <w:gridCol w:w="109"/>
        <w:gridCol w:w="109"/>
        <w:gridCol w:w="109"/>
        <w:gridCol w:w="258"/>
        <w:gridCol w:w="264"/>
        <w:gridCol w:w="320"/>
      </w:tblGrid>
      <w:tr>
        <w:trPr/>
        <w:tc>
          <w:tcPr>
            <w:tcW w:w="171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charging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Non-charging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 and ancillary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non-charging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21,227 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46,202 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82,648 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98,030 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net of capital-build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75,306 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84,122 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13,908 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47,490 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44,720 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(40,148)</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(30,812)</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(6,444)</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(46,592)</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(29,818)</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(16,774)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(46,342)</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(29,821)</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Network throughput (GWh) on the EVgo Public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DC Stalls on the EVgo Public Network (in thousands) as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_______________________________________________________________________________________________</w:t>
      </w:r>
    </w:p>
    <w:p>
      <w:pPr>
        <w:pStyle w:val="TextBody"/>
        <w:bidi w:val="0"/>
        <w:spacing w:lineRule="auto" w:line="288" w:before="0" w:after="6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Percentage greater than 999% or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months ended June 30, 2026 decreased $15.4 million, or 16%, to $82.6 million compared to $98.0 million for the three months ended June 30, 2025. As further discussed below, the decrease in total revenue was primarily due to a $19.4 million decrease in eXtend revenue and a $5.6 million decrease in AV and ancillary revenue, partially offset by a $9.6 million increase in charging network revenue. </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Total Charging Network. </w:t>
      </w:r>
      <w:r>
        <w:rPr>
          <w:rFonts w:ascii="Times New Roman;serif" w:hAnsi="Times New Roman;serif"/>
          <w:b w:val="false"/>
          <w:color w:val="000000"/>
          <w:sz w:val="20"/>
        </w:rPr>
        <w:t>Total charging network increased $9.6 million, or 19%, to $61.4 million for the three months ended June 30, 2026 compared to $51.8 million for the three months ended June 30, 2025. Period-over-period growth was primarily due to a $4.8 million increase in network revenue, OEM, due to increased marketing revenue, and to a lesser extent, increased breakage revenue, a $2.2 million increase in commercial charging revenue, due to an overall increase in throughput volume from a greater number of public fleet customers, and a $2.2 million increase in regulatory credit sales, due to increased throughput resulting in additional credit generation and improved market prices.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eXtend Revenue.</w:t>
      </w:r>
      <w:r>
        <w:rPr>
          <w:color w:val="000000"/>
        </w:rPr>
        <w:t xml:space="preserve"> </w:t>
      </w:r>
      <w:r>
        <w:rPr>
          <w:rFonts w:ascii="Times New Roman;serif" w:hAnsi="Times New Roman;serif"/>
          <w:b w:val="false"/>
          <w:color w:val="000000"/>
          <w:sz w:val="20"/>
        </w:rPr>
        <w:t>eXtend revenue for the three months ended June 30, 2026 decreased $19.4 million, or 52%, to $18.0 million compared to $37.4 million for the three months ended June 30, 2025. The decrease was primarily due to a $17.5 million decrease in equipment sales, reflecting lower equipment needs relative to the prior period, a $2.2 million decrease in construction revenue due to lower construction projects in process or completed, partially offset by a $0.7 million increase in operating and maintenance revenue.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AV and Ancillary Revenue. </w:t>
      </w:r>
      <w:r>
        <w:rPr>
          <w:rFonts w:ascii="Times New Roman;serif" w:hAnsi="Times New Roman;serif"/>
          <w:b w:val="false"/>
          <w:color w:val="000000"/>
          <w:sz w:val="20"/>
        </w:rPr>
        <w:t>AV and ancillary revenue for the three months ended June 30, 2026 decreased $5.6 million, or 64%, to $3.2 million compared to $8.8 million for the three months ended June 30, 2025. The decrease was primarily due to a $5.3 million decrease in revenue recognized from sales-type lease arrangements with dedicated fleet customers during the three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Charging Network.</w:t>
      </w:r>
      <w:r>
        <w:rPr>
          <w:color w:val="000000"/>
        </w:rPr>
        <w:t xml:space="preserve"> </w:t>
      </w:r>
      <w:r>
        <w:rPr>
          <w:rFonts w:ascii="Times New Roman;serif" w:hAnsi="Times New Roman;serif"/>
          <w:b w:val="false"/>
          <w:color w:val="000000"/>
          <w:sz w:val="20"/>
        </w:rPr>
        <w:t>Charging network cost of sales for the three months ended June 30, 2026 increased $6.7 million, or 21%, to $39.2 million compared to $32.5 million for the three months ended June 30, 2025. The increase in charging network cost of sales was primarily due to a $3.5 million increase in non-energy costs resulting primarily from increased maintenance activities and rent and related expenses due to the growth of our network and a $3.2 million increase in energy costs, driven primarily by higher throughput.</w:t>
      </w:r>
    </w:p>
    <w:p>
      <w:pPr>
        <w:pStyle w:val="TextBody"/>
        <w:bidi w:val="0"/>
        <w:spacing w:lineRule="auto" w:line="288" w:before="0" w:after="0"/>
        <w:ind w:left="0" w:right="0" w:firstLine="360"/>
        <w:jc w:val="both"/>
        <w:rPr/>
      </w:pPr>
      <w:r>
        <w:rPr>
          <w:rFonts w:ascii="Times New Roman;serif" w:hAnsi="Times New Roman;serif"/>
          <w:b w:val="false"/>
          <w:i/>
          <w:color w:val="000000"/>
          <w:sz w:val="20"/>
        </w:rPr>
        <w:t>Other</w:t>
      </w:r>
      <w:r>
        <w:rPr>
          <w:rFonts w:ascii="Times New Roman;serif" w:hAnsi="Times New Roman;serif"/>
          <w:b w:val="false"/>
          <w:color w:val="000000"/>
          <w:sz w:val="20"/>
        </w:rPr>
        <w:t>. Other cost of sales for the three months ended June 30, 2026 decreased $20.0 million, or 54%, to $17.2 million compared to $37.2 million for the three months ended June 30, 2025. The decrease in other cost of sales was primarily due to a $17.1 million decrease in costs to support our eXtend revenue and a $2.7 million decrease in costs of sales related to revenue recognized from a sales-type lease arrangement with dedicated fleet customers.</w:t>
      </w:r>
    </w:p>
    <w:p>
      <w:pPr>
        <w:pStyle w:val="TextBody"/>
        <w:bidi w:val="0"/>
        <w:spacing w:lineRule="auto" w:line="288" w:before="240" w:after="240"/>
        <w:ind w:left="0" w:right="0" w:firstLine="360"/>
        <w:jc w:val="both"/>
        <w:rPr/>
      </w:pPr>
      <w:r>
        <w:rPr>
          <w:rFonts w:ascii="Times New Roman;serif" w:hAnsi="Times New Roman;serif"/>
          <w:b w:val="false"/>
          <w:i/>
          <w:color w:val="000000"/>
          <w:sz w:val="20"/>
        </w:rPr>
        <w:t>Depreciation, Net of Capital-Build Amortization.</w:t>
      </w:r>
      <w:r>
        <w:rPr>
          <w:color w:val="000000"/>
        </w:rPr>
        <w:t xml:space="preserve"> </w:t>
      </w:r>
      <w:r>
        <w:rPr>
          <w:rFonts w:ascii="Times New Roman;serif" w:hAnsi="Times New Roman;serif"/>
          <w:b w:val="false"/>
          <w:color w:val="000000"/>
          <w:sz w:val="20"/>
        </w:rPr>
        <w:t>Depreciation, net of capital-build amortization, for the three months ended June 30, 2026 increased $4.5 million, or 31%, to $18.8 million compared to $14.3 million for the three months ended June 30, 2025 due to the growth of our charging network.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June 30, 2026 decreased $6.6 million to $7.3 million, compared to $13.9 million for the three months ended June 30, 2025. Gross margin for the three months ended June 30, 2026 and 2025 was 8.9% and 14.2%,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General and Administrative Expenses. </w:t>
      </w:r>
      <w:r>
        <w:rPr>
          <w:rFonts w:ascii="Times New Roman;serif" w:hAnsi="Times New Roman;serif"/>
          <w:b w:val="false"/>
          <w:color w:val="000000"/>
          <w:sz w:val="20"/>
        </w:rPr>
        <w:t xml:space="preserve">General and administrative expenses for the three months ended June 30, 2026 increased $3.8 million, or 9%, to $44.4 million compared to $40.6 million for the three months ended June 30, 2025. The increase was primarily driven by a $1.2 million increase in project expenses, a $1.1 million increase in loss on disposal of property and equipment, net of insurance recoveries, a $1.0 million increase in software costs, a $0.9 million increase in bad debt expense and a $0.7 million increase in marketing and advertising expense, partially offset by a $1.5 million decrease in impairment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both"/>
        <w:rPr/>
      </w:pPr>
      <w:r>
        <w:rPr>
          <w:rFonts w:ascii="Times New Roman;serif" w:hAnsi="Times New Roman;serif"/>
          <w:b w:val="false"/>
          <w:i/>
          <w:color w:val="000000"/>
          <w:sz w:val="20"/>
        </w:rPr>
        <w:t xml:space="preserve">Depreciation, Amortization and Accretion. </w:t>
      </w:r>
      <w:r>
        <w:rPr>
          <w:rFonts w:ascii="Times New Roman;serif" w:hAnsi="Times New Roman;serif"/>
          <w:b w:val="false"/>
          <w:color w:val="000000"/>
          <w:sz w:val="20"/>
        </w:rPr>
        <w:t xml:space="preserve">Depreciation, amortization and accretion expenses for the three months ended June 30, 2026 decreased $1.0 million, or 24%, to $3.1 million compared to $4.1 million for the three months ended June 30, 2025. The decrease was primarily due to $0.7 million in decrease in amortization related to intangible assets and a $0.4 million decrease in amortization related to software.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Loss and Operating Margin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had an operating loss of $40.1 million, an increase of $9.3 million, or 30%, compared to $30.8 million for the three months ended June 30, 2025. Operating margin for the three months ended June 30, 2026 was negative 48.6% compared to negative 31.4% for the three months ended June 30, 2025 primarily due to reduced gross margin and reduced leveraging of operating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increased $7.2 million, or 797%, to $8.2 million compared to $0.9 million for the three months ended June 30, 2025. The increase was due to higher interest expense incurred related to the DOE Loan and Credit Agreement, which is presented net of amounts capitalized to property and equipment, due to higher debt balances on both the DOE Loan and Credit Agreement.</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40"/>
        <w:ind w:left="0" w:right="0" w:firstLine="360"/>
        <w:jc w:val="both"/>
        <w:rPr/>
      </w:pPr>
      <w:r>
        <w:rPr>
          <w:rFonts w:ascii="Times New Roman;serif" w:hAnsi="Times New Roman;serif"/>
          <w:b w:val="false"/>
          <w:color w:val="000000"/>
          <w:sz w:val="20"/>
        </w:rPr>
        <w:t>Interest income for the three months ended June 30, 2026 decreased $0.3 million, or 17% to $1.4 million compared to $1.7 million</w:t>
      </w:r>
      <w:r>
        <w:rPr>
          <w:color w:val="000000"/>
        </w:rPr>
        <w:t xml:space="preserve"> </w:t>
      </w:r>
      <w:r>
        <w:rPr>
          <w:rFonts w:ascii="Times New Roman;serif" w:hAnsi="Times New Roman;serif"/>
          <w:b w:val="false"/>
          <w:color w:val="000000"/>
          <w:sz w:val="20"/>
        </w:rPr>
        <w:t>for the three months ended June 30, 2025. The decrease was primarily due to lower interest rates during the three months ended June 30, 2026 compared to the same prior-year period.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June 30, 2026 and 2025 was de minimis.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Fair Values of Warrant and Earnout Liabilities</w:t>
      </w:r>
    </w:p>
    <w:p>
      <w:pPr>
        <w:pStyle w:val="TextBody"/>
        <w:bidi w:val="0"/>
        <w:spacing w:lineRule="auto" w:line="288" w:before="0" w:after="240"/>
        <w:ind w:left="0" w:right="0" w:firstLine="360"/>
        <w:jc w:val="both"/>
        <w:rPr/>
      </w:pPr>
      <w:r>
        <w:rPr>
          <w:rFonts w:ascii="Times New Roman;serif" w:hAnsi="Times New Roman;serif"/>
          <w:b w:val="false"/>
          <w:color w:val="000000"/>
          <w:sz w:val="20"/>
        </w:rPr>
        <w:t>For the three months ended June 30, 2026, there was a $0.3 million gain resulting from the change in fair values of warrant and earnout liabilities compared to a $0.2 million gain for the three months ended June 30, 2025. The change between periods was primarily due to a decrease in the fair value of the warrant and earnout liabilities during the three months ended June 30, 2026 compared to the same prior-year period. The Public Warrants and the Private Placement Warrants expired July 1, 2026. See “</w:t>
      </w:r>
      <w:r>
        <w:rPr>
          <w:rFonts w:ascii="Times New Roman;serif" w:hAnsi="Times New Roman;serif"/>
          <w:b w:val="false"/>
          <w:i/>
          <w:color w:val="000000"/>
          <w:sz w:val="20"/>
        </w:rPr>
        <w:t>Part I, Item 1: Financial Statements — Note 11 — Fair Value Measurements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 (Expense), Net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our income tax (benefit) expense was de minimis. As of June 30, 2026 and 2025, we maintained a full valuation allowance on our net deferred tax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Loss Attributable to Class A Common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 for the three months ended June 30, 2026 was $20.8 million, compared to $13.0 million for the three months ended June 30, 2025. The increase was primarily driven by a $9.3 million increase in operating loss and a $7.2 million increase in interest expense, partially offset by a $8.7 million increase in net loss attributable to redeemable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Results of Operations for the Six Months Ended June 30, 2026 and 2025</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results of operations:</w:t>
      </w:r>
    </w:p>
    <w:tbl>
      <w:tblPr>
        <w:tblW w:w="10205" w:type="dxa"/>
        <w:jc w:val="left"/>
        <w:tblInd w:w="0" w:type="dxa"/>
        <w:tblLayout w:type="fixed"/>
        <w:tblCellMar>
          <w:top w:w="28" w:type="dxa"/>
          <w:left w:w="28" w:type="dxa"/>
          <w:bottom w:w="28" w:type="dxa"/>
          <w:right w:w="28" w:type="dxa"/>
        </w:tblCellMar>
      </w:tblPr>
      <w:tblGrid>
        <w:gridCol w:w="1668"/>
        <w:gridCol w:w="1360"/>
        <w:gridCol w:w="1365"/>
        <w:gridCol w:w="109"/>
        <w:gridCol w:w="109"/>
        <w:gridCol w:w="109"/>
        <w:gridCol w:w="211"/>
        <w:gridCol w:w="826"/>
        <w:gridCol w:w="271"/>
        <w:gridCol w:w="109"/>
        <w:gridCol w:w="109"/>
        <w:gridCol w:w="109"/>
        <w:gridCol w:w="211"/>
        <w:gridCol w:w="777"/>
        <w:gridCol w:w="271"/>
        <w:gridCol w:w="109"/>
        <w:gridCol w:w="109"/>
        <w:gridCol w:w="109"/>
        <w:gridCol w:w="211"/>
        <w:gridCol w:w="777"/>
        <w:gridCol w:w="109"/>
        <w:gridCol w:w="109"/>
        <w:gridCol w:w="109"/>
        <w:gridCol w:w="109"/>
        <w:gridCol w:w="257"/>
        <w:gridCol w:w="263"/>
        <w:gridCol w:w="320"/>
      </w:tblGrid>
      <w:tr>
        <w:trPr/>
        <w:tc>
          <w:tcPr>
            <w:tcW w:w="166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charging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Non-charging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 and ancillary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non-charging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75,041 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74,391 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192,179 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173,317 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18,862 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Charging network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net of capital-build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171,879 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150,086 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23,231 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96,793 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87,443 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(76,493)</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(64,212)</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(7,068)</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(83,561)</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(55,954)</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(27,607)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(83,323)</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(56,048)</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(27,275)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(37,194)</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(24,360)</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Network throughput (GWh) on the EVgo Public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DC Stalls on the EVgo Public Network (in thousands) as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_______________________________________________________________________________________________</w:t>
      </w:r>
    </w:p>
    <w:p>
      <w:pPr>
        <w:pStyle w:val="TextBody"/>
        <w:bidi w:val="0"/>
        <w:spacing w:lineRule="auto" w:line="288" w:before="0" w:after="60"/>
        <w:ind w:left="0" w:right="0" w:firstLine="720"/>
        <w:jc w:val="both"/>
        <w:rPr>
          <w:rFonts w:ascii="Times New Roman;serif" w:hAnsi="Times New Roman;serif"/>
          <w:b w:val="false"/>
          <w:color w:val="000000"/>
          <w:sz w:val="16"/>
        </w:rPr>
      </w:pPr>
      <w:r>
        <w:rPr>
          <w:rFonts w:ascii="Times New Roman;serif" w:hAnsi="Times New Roman;serif"/>
          <w:b w:val="false"/>
          <w:color w:val="000000"/>
          <w:sz w:val="16"/>
        </w:rPr>
        <w:t>* Percentage greater than 999% or not meaningful.</w:t>
      </w:r>
    </w:p>
    <w:p>
      <w:pPr>
        <w:pStyle w:val="TextBody"/>
        <w:bidi w:val="0"/>
        <w:spacing w:before="0" w:after="0"/>
        <w:ind w:left="0" w:right="0" w:firstLine="259"/>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six months ended June 30, 2026 increased $18.9 million, or 11%, to $192.2 million compared to $173.3 million for the six months ended June 30, 2025. As further discussed below, the increase in revenue was primarily due to a $18.2 million increase in charging network revenue and a $10.3 million increase in AV and ancillary revenue, partially offset by a $9.7 million decrease in eXtend revenue. </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Total Charging Network. </w:t>
      </w: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20"/>
        </w:rPr>
        <w:t xml:space="preserve">charging network increased $18.2 million, or 18%, to $117.1 million for the six months ended June 30, 2026 compared to $98.9 million for the six months ended June 30, 2025. Period-over-period growth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primarily due to a $8.8 million increase in retail charging revenue due to an overall increase in throughput volume from a greater number of customers, and to a lesser extent, increases in pricing, a $8.4 million increase in network revenue, OEM due to increased marketing revenue, and to a lesser extent, increased breakage revenue, and a $3.3 million increase in commercial charging revenue due to an overall increase in throughput volume from a greater number of public fleet customers, partially offset by a $5.0 million decrease in charging revenue, OEM due to a reduction in customers, as certain OEM agreements expire.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eXtend Revenue.</w:t>
      </w:r>
      <w:r>
        <w:rPr>
          <w:color w:val="000000"/>
        </w:rPr>
        <w:t xml:space="preserve"> </w:t>
      </w:r>
      <w:r>
        <w:rPr>
          <w:rFonts w:ascii="Times New Roman;serif" w:hAnsi="Times New Roman;serif"/>
          <w:b w:val="false"/>
          <w:color w:val="000000"/>
          <w:sz w:val="20"/>
        </w:rPr>
        <w:t>eXtend revenue for the six months ended June 30, 2026 decreased $9.7 million, or 16%, to $51.2 million compared to $60.9 million for the six months ended June 30, 2025. The decrease was primarily due to a $14.4 million decrease in equipment sales reflecting lower equipment needs relative to the prior period, partially offset by a $3.9 million increase in construction revenue due to higher construction projects in process or completed.</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 xml:space="preserve">AV and ancillary Revenue. </w:t>
      </w:r>
      <w:r>
        <w:rPr>
          <w:rFonts w:ascii="Times New Roman;serif" w:hAnsi="Times New Roman;serif"/>
          <w:b w:val="false"/>
          <w:color w:val="000000"/>
          <w:sz w:val="20"/>
        </w:rPr>
        <w:t>AV and ancillary revenue for the six months ended June 30, 2026 increased $10.3 million, or 76%, to $23.8 million compared to $13.5 million for the six months ended June 30, 2025.The increase was primarily due to a $11.9 million increase in revenue recognized from sales-type lease arrangements with dedicated fleet customers, partially offset by a $1.0 million decrease in operating lease revenue</w:t>
      </w:r>
      <w:r>
        <w:rPr>
          <w:rFonts w:ascii="Arial;sans-serif" w:hAnsi="Arial;sans-serif"/>
          <w:b w:val="false"/>
          <w:color w:val="000000"/>
          <w:sz w:val="24"/>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Charging Network.</w:t>
      </w:r>
      <w:r>
        <w:rPr>
          <w:color w:val="000000"/>
        </w:rPr>
        <w:t xml:space="preserve"> </w:t>
      </w:r>
      <w:r>
        <w:rPr>
          <w:rFonts w:ascii="Times New Roman;serif" w:hAnsi="Times New Roman;serif"/>
          <w:b w:val="false"/>
          <w:color w:val="000000"/>
          <w:sz w:val="20"/>
        </w:rPr>
        <w:t>Charging network cost of sales for the six months ended June 30, 2026 increased $12.7 million , or 20%, to $74.8 million compared to $62.2 million for the six months ended June 30, 2025. The increase in charging network cost was primarily due to a $7.0 million increase in non-energy costs resulting primarily from increased maintenance activities and rent and related expenses due to the growth of our network and a $5.7 million increase in energy costs from higher throughput.</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Other</w:t>
      </w:r>
      <w:r>
        <w:rPr>
          <w:rFonts w:ascii="Times New Roman;serif" w:hAnsi="Times New Roman;serif"/>
          <w:b w:val="false"/>
          <w:color w:val="000000"/>
          <w:sz w:val="20"/>
        </w:rPr>
        <w:t>. Other cost of sales for the six months ended June 30, 2026 increased $4.0 million, or 7%, to $61.6 million compared to $57.6 million for the six months ended June 30, 2025. The increase in other cost of sales was primarily due to a $10.2 million increase in costs of sales related to revenue recognized from a sales-type lease arrangement with dedicated fleet customers, partially offset by a $6.1 million decrease in costs to support our eXtend revenue.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Depreciation, Net of Capital-Build Amortization.</w:t>
      </w:r>
      <w:r>
        <w:rPr>
          <w:color w:val="000000"/>
        </w:rPr>
        <w:t xml:space="preserve"> </w:t>
      </w:r>
      <w:r>
        <w:rPr>
          <w:rFonts w:ascii="Times New Roman;serif" w:hAnsi="Times New Roman;serif"/>
          <w:b w:val="false"/>
          <w:color w:val="000000"/>
          <w:sz w:val="20"/>
        </w:rPr>
        <w:t>Depreciation, net of capital-build amortization, for the six months ended June 30, 2026 increased $5.1 million, or 17%, to $35.4 million compared to $30.3 million for the six months ended June 30, 2025 due to the growth of our charging network.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for the six months ended June 30, 2026 decreased $2.9 million to $20.3 million, compared to $23.2 million for the six months ended June 30, 2025. Gross margin for the six months ended June 30, 2026 and 2025 was 10.6% and 13.4%,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General and Administrative Expenses. </w:t>
      </w:r>
      <w:r>
        <w:rPr>
          <w:rFonts w:ascii="Times New Roman;serif" w:hAnsi="Times New Roman;serif"/>
          <w:b w:val="false"/>
          <w:color w:val="000000"/>
          <w:sz w:val="20"/>
        </w:rPr>
        <w:t>General and administrative expenses for the six months ended June 30, 2026 increased $11.1 million, or 14%, to $90.4 million compared to $79.2 million for the six months ended June 30, 2025. The increase was primarily driven by a $2.0 million increase in software costs, a $1.6 million increase in payroll costs due to an increase in headcount, a $1.4 million increase in project expenses, a $1.3 million increase in impairment expense, a $1.3 million increase in bad debt expense, and a $0.9 million</w:t>
      </w:r>
      <w:r>
        <w:rPr>
          <w:color w:val="000000"/>
        </w:rPr>
        <w:t xml:space="preserve"> </w:t>
      </w:r>
      <w:r>
        <w:rPr>
          <w:rFonts w:ascii="Times New Roman;serif" w:hAnsi="Times New Roman;serif"/>
          <w:b w:val="false"/>
          <w:color w:val="000000"/>
          <w:sz w:val="20"/>
        </w:rPr>
        <w:t xml:space="preserve">increase in marketing and advertising expense. </w:t>
      </w:r>
    </w:p>
    <w:p>
      <w:pPr>
        <w:pStyle w:val="TextBody"/>
        <w:bidi w:val="0"/>
        <w:spacing w:lineRule="auto" w:line="288" w:before="240" w:after="240"/>
        <w:ind w:left="0" w:right="0" w:firstLine="360"/>
        <w:jc w:val="both"/>
        <w:rPr/>
      </w:pPr>
      <w:r>
        <w:rPr>
          <w:rFonts w:ascii="Times New Roman;serif" w:hAnsi="Times New Roman;serif"/>
          <w:b w:val="false"/>
          <w:i/>
          <w:color w:val="000000"/>
          <w:sz w:val="20"/>
        </w:rPr>
        <w:t xml:space="preserve">Depreciation, Amortization and Accretion. </w:t>
      </w:r>
      <w:r>
        <w:rPr>
          <w:rFonts w:ascii="Times New Roman;serif" w:hAnsi="Times New Roman;serif"/>
          <w:b w:val="false"/>
          <w:color w:val="000000"/>
          <w:sz w:val="20"/>
        </w:rPr>
        <w:t>Depreciation, amortization and accretion expenses for the six months ended June 30, 2026 decreased $1.8 million, or 22%, to $6.4 million compared to $8.2 million for the six months ended June 30, 2025. The decrease was primarily due to a $1.5 million decrease in amortization related to intangible assets, a $0.7 million decrease in amortization related to software, and a $0.2 million increase in accretion.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Loss and Operating Margin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had an operating loss of $76.5 million, an increase of $12.3 million, or 19%, compared to $64.2 million for the six months ended June 30, 2025. Operating margin for the six months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2026 was negative 39.8% compared to negative 37.0% for the six months ended June 30, 2025 primarily due to reduced gross margin and reduced leveraging of operating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increased $9.7 million, or 680%, to $11.1 million, compared to $1.4 million for the six months ended June 30, 2025. The increase was due to higher interest expense incurred related to the DOE Loan and Credit Agreement, which is presented net of amounts capitalized to property and equipment, due to higher debt balances on both the DOE Loan and Credit Agreement.</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for the six months ended June 30, 2026 decreased $0.6 million, or 18%, to $2.8 million compared to $3.4 million for the six months ended June 30, 2025. The decrease was primarily due to lower interest rates during the six months ended June 30, 2026 compared to the same prior-year period.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for the six months ended June 30, 2026 and 2025 was de minimis.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Fair Values of Warrant and Earnout Liabilities</w:t>
      </w:r>
    </w:p>
    <w:p>
      <w:pPr>
        <w:pStyle w:val="TextBody"/>
        <w:bidi w:val="0"/>
        <w:spacing w:lineRule="auto" w:line="288" w:before="0" w:after="240"/>
        <w:ind w:left="0" w:right="0" w:firstLine="360"/>
        <w:jc w:val="both"/>
        <w:rPr/>
      </w:pPr>
      <w:r>
        <w:rPr>
          <w:rFonts w:ascii="Times New Roman;serif" w:hAnsi="Times New Roman;serif"/>
          <w:b w:val="false"/>
          <w:color w:val="000000"/>
          <w:sz w:val="20"/>
        </w:rPr>
        <w:t>For six months ended June 30, 2026, there was a $1.2 million gain resulting from the change in fair values of warrant and earnout liabilities compared to a $6.3 million gain for the six months ended June 30, 2025. The change between periods was primarily due to a smaller decrease in the fair value of the warrant and earnout liabilities during the six months ended June 30, 2026 compared to the same prior-year period. The Public Warrants and the Private Placement Warrants expired July 1, 2026. See “</w:t>
      </w:r>
      <w:r>
        <w:rPr>
          <w:rFonts w:ascii="Times New Roman;serif" w:hAnsi="Times New Roman;serif"/>
          <w:b w:val="false"/>
          <w:i/>
          <w:color w:val="000000"/>
          <w:sz w:val="20"/>
        </w:rPr>
        <w:t>Part I, Item 1: Financial Statements — Note 11 — Fair Value Measurements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 (Expense), Net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income tax benefit was $0.2 million compared to income tax expense of $0.1 million for the six months ended June 30, 2025. As of June 30, 2026 and 2025, we maintained a full valuation allowance on our net deferred tax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Loss Attributable to Class A Common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attributable to Class A common stockholders for the six months ended June 30, 2026 was $37.2 million, compared to $24.4 million for the six months ended June 30, 2025. The increase was primarily driven by a $12.3 million increase in operating loss, a $9.7 million increase in interest expense and a $5.0 million increase in gain from changes in the fair value of warrant and earnout liabilities, partially offset by a $14.4 million increase in net loss attributable to redeemable noncontrolling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Liquidity and Capital Resources</w:t>
      </w:r>
    </w:p>
    <w:p>
      <w:pPr>
        <w:pStyle w:val="TextBody"/>
        <w:bidi w:val="0"/>
        <w:spacing w:lineRule="auto" w:line="288" w:before="0" w:after="240"/>
        <w:ind w:left="0" w:right="0" w:firstLine="360"/>
        <w:jc w:val="both"/>
        <w:rPr/>
      </w:pPr>
      <w:r>
        <w:rPr>
          <w:rFonts w:ascii="Times New Roman;serif" w:hAnsi="Times New Roman;serif"/>
          <w:b w:val="false"/>
          <w:color w:val="000000"/>
          <w:sz w:val="20"/>
        </w:rPr>
        <w:t>We have a history of operating losses and negative operating cash flows. As of June 30, 2026, we had $197.7 million of cash, cash equivalents and restricted cash and working capital of $148.1 million. As of December 31, 2025, we had $210.7 million of cash, cash equivalents and restricted cash and working capital of $161.2 million. Our net cash outflow</w:t>
      </w:r>
      <w:r>
        <w:rPr>
          <w:color w:val="000000"/>
        </w:rPr>
        <w:t xml:space="preserve"> </w:t>
      </w:r>
      <w:r>
        <w:rPr>
          <w:rFonts w:ascii="Times New Roman;serif" w:hAnsi="Times New Roman;serif"/>
          <w:b w:val="false"/>
          <w:color w:val="000000"/>
          <w:sz w:val="20"/>
        </w:rPr>
        <w:t>for the three and six months ended June 30, 2026 was $13.1 million. We believe our cash, cash equivalents, and restricted cash on hand as of June 30, 2026 are sufficient to meet our current working capital and capital expenditure requirements for a period of at least twelve months from the filing date of this Quarterly Report.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date, our primary sources of liquidity have been cash flows from the CRIS Business Combination, revenues from our various revenue streams, government grants, proceeds from the transfer of 30C income tax credits, proceeds from sales of our Class A common stock, including under the ATM Program and an underwritten equity offering, loans and equity contributions from our previous owners, and borrowings under long-term debt arrangements. Our primary cash requirements include operating expenses, satisfaction of commitments to various counterparties and suppliers and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expenditures (including property and equipment). Our principal uses of cash in recent periods have been funding our operations and investing in capital expenditures, including the purchase of EV chargers for installation.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DOE Loan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On December 12, 2024, Swift Borrower entered into the Guarantee Agreement with the DOE as guarantor, which was amended by the Amendment on April 29, 2026. See Part I, Item 1, </w:t>
      </w:r>
      <w:r>
        <w:rPr>
          <w:color w:val="000000"/>
        </w:rPr>
        <w:t>“</w:t>
      </w:r>
      <w:r>
        <w:rPr>
          <w:rFonts w:ascii="Times New Roman;serif" w:hAnsi="Times New Roman;serif"/>
          <w:b w:val="false"/>
          <w:i/>
          <w:color w:val="000000"/>
          <w:sz w:val="20"/>
        </w:rPr>
        <w:t>Financial Statements — Note 8 — Long-Term Debt”</w:t>
      </w:r>
      <w:r>
        <w:rPr>
          <w:color w:val="000000"/>
        </w:rPr>
        <w:t xml:space="preserve"> </w:t>
      </w:r>
      <w:r>
        <w:rPr>
          <w:rFonts w:ascii="Times New Roman;serif" w:hAnsi="Times New Roman;serif"/>
          <w:b w:val="false"/>
          <w:color w:val="000000"/>
          <w:sz w:val="20"/>
        </w:rPr>
        <w:t xml:space="preserve">for additional information. The DOE Loan is structured as a senior secured loan facility of up to $750 million, consisting of $625 million in borrowings and up to $125 million in capitalized interest. The DOE Loan provides that Swift Borrower may draw on the DOE Loan, each such draw, an Advance, at any time during the Availability Period. Advances under the DOE Loan are subject to the satisfaction of customary conditions, including certification of compliance with the loan documents and specified legal requirements and the ongoing accuracy of representations and warranties. </w:t>
      </w:r>
    </w:p>
    <w:p>
      <w:pPr>
        <w:pStyle w:val="TextBody"/>
        <w:bidi w:val="0"/>
        <w:spacing w:lineRule="auto" w:line="288" w:before="0" w:after="240"/>
        <w:ind w:left="0" w:right="0" w:firstLine="360"/>
        <w:jc w:val="both"/>
        <w:rPr/>
      </w:pPr>
      <w:r>
        <w:rPr>
          <w:rFonts w:ascii="Times New Roman;serif" w:hAnsi="Times New Roman;serif"/>
          <w:b w:val="false"/>
          <w:color w:val="000000"/>
          <w:sz w:val="20"/>
        </w:rPr>
        <w:t>All proceeds from the DOE Loan will be used to reimburse us for an amount equal to 80%</w:t>
      </w:r>
      <w:r>
        <w:rPr>
          <w:color w:val="000000"/>
        </w:rPr>
        <w:t xml:space="preserve"> </w:t>
      </w:r>
      <w:r>
        <w:rPr>
          <w:rFonts w:ascii="Times New Roman;serif" w:hAnsi="Times New Roman;serif"/>
          <w:b w:val="false"/>
          <w:color w:val="000000"/>
          <w:sz w:val="20"/>
        </w:rPr>
        <w:t>of the aggregate of all Eligible Project Costs (as such term is defined in the Amendment) of assets held by Swift Borrower (subject to certain regulatory and contractual requirements), subject to the overall project leverage ratio cap of 65% being reached, after which Swift Borrower will borrow and reimburse Sponsor at the 65% ratio until the end of the Availability Period. At the closing of the DOE Loan, we contributed 1,594 DC Stalls from our existing public network to Swift Borrower as collateral and we may be required to contribute additional DC Stalls or cash to Swift Borrower from time to time. We, through our subsidiary, EVgo Services, will provide charge point operator services to Swift Borrower for the duration of the DOE Loan. Cash received from revenues generated from the contributed DC Stalls is restricted to ensure that we have sufficient funds to keep the contributed stations operational and make our required debt service and fee payments.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DOE Loan matures on January 7, 2042. Beginning on March 15, 2030 and March 15, 2032, Swift Borrower will be required to make quarterly payments of interest and principal, respectively, to the FFB. Interest rates are fixed at the applicable long-dated U.S. Treasury rate plus a combined liquidity spread and risk-based charge of approximately 1.2% in the aggregate, and accrued interest is capitalized until the end of the Availability Period. Subject to certain conditions, including the existence of no events of default, Swift Borrower may voluntarily prepay any or all of the principal outstanding under the DOE Loan. Additionally, in the event of a Mandatory Prepayment Event (as defined in the Guarantee Agreement), Swift Borrower shall be required to prepay certain amounts outstanding under the DOE Loan. Swift Borrower’s obligations to the DOE and FFB under the DOE Loan are secured by a first priority security interest (subject to customary exceptions and permitted liens) in, among other things, the assets of Swift Borrower and the equity interests of Swift Borrower.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Guarantee Agreement contains customary representations and warranties as well as affirmative and negative covenants (including restrictions on Swift Borrower making distributions to affiliates). The Guarantee Agreement also contains customary events of default including failure to make payments when due, failure to maintain the required debt service coverage ratio, the occurrence of a Change of Control (as defined in the Guarantee Agreement) or other breaches under the Guarantee Agreement. If an event of default occurs, the DOE has certain rights and may, among other options and in its discretion, assess fees and penalties, enforce the collateral, and declare all amounts under the DOE Loan payable immediately in full.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outstanding balance under the DOE Loan was $226.1 million, which includes $10.3 million in paid-in-kind interest. As of June 30, 2026, Swift Borrower had $409.0 million of principal available to borrow under the DOE Loan, subject to the satisfaction of conditions contained in the Guarantee Agreement. The weighted average interest rate on the outstanding amounts under the DOE Loan as of June 30, 2026 was 5.63%.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Voyager Borrower entered into the Credit Agreement. The Credit Agreement provides for a term facility of up to $300 million, consisting of (i) the Commitment and (ii) the Incremental Commitment. Voyager Borrower may make Borrowings under the Credit Agreement at any time during the Voyager Availability Period. Borrowings under the Credit Agreement are subject to the satisfaction of customary conditions, including contribution to Voyager Borrower by EVgo Services of the EV fast charging stalls to which the applicable Borrowing relates, delivery of a Borrowing notice and the ongoing accuracy of certain representations and warranties.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proceeds from the Credit Agreement will be used to reimburse EVgo Services for up to 60% of certain costs associated with the construction, installation and deployment of the stalls contributed to Voyager Borrower by EVgo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Services pursuant to the terms of the Credit Agreement and pay for certain transaction costs. The Loans are expected to support more than 1,900 stalls nationwide, including the buildout of more than 1,500 new stalls and 400 stalls that EVgo Services contributed from its existing public network to Voyager Borrower as collateral in connection with the initial borrowing. Under the terms of the Credit Agreement, EVgo Services may contribute additional stalls or cash to Voyager Borrower from time to time during the Voyager Availability Period. EVgo Services will provide charge point operator services to Voyager Borrower in connection with the project for the duration of the Credit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Loans under the Credit Agreement may, at the election of Voyager Borrower, be in the form of a SOFR Loan or an ABR Loan (each as defined in the Credit Agreement). SOFR Loans bear interest a rate per annum equal to Term SOFR (as defined in the Credit Agreement) plus (i) 3.25% for the period from the Voyager Closing Date until and excluding the fourth anniversary of the Voyager Closing Date and (ii) 3.50% for the period from and including the fourth anniversary of the Voyager Closing Date and thereafter. ABR Loans bear interest at a rate per annum equal to ABR (as defined in the Credit Agreement) plus (i) 2.25% for the period from the Voyager Closing Date until and excluding the fourth anniversary of the Voyager Closing Date and (ii) 2.50% for the period from and including the fourth anniversary of the Voyager Closing Date and thereafter. Voyager Borrower began making quarterly interest payments in the year ended December 31, 2025.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including the existence of no events of default, Voyager Borrower may voluntarily prepay any or all of the principal outstanding under the Credit Agreement. Additionally, upon the occurrence of certain mandatory prepayment events set forth in the Credit Agreement, Voyager Borrower may be required to prepay certain amounts outstanding under the Credit Agreement. Voyager Borrower’s obligations to the Lenders under the Credit Agreement are required to be secured by a first priority security interest (subject to customary exceptions and permitted liens) in, among other things, the assets of Voyager Borrower and the equity interests of Voyager Borrower.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under the Loan was $71.1 million. As of June 30, 2026, Voyager Borrower had $153.4 million of principal remaining available to borrow under the Commitments, subject to the satisfaction of customary conditions. The weighted average interest rate on the outstanding amounts under the Credit Agreement as of June 30, 2026 was 6.98%.</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30C Credits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benefitted from the availability of 30C income tax credits, which effectively subsidizes the cost of placing our charging stations in service. The IRA revised the 30C income tax credits to extend the credit until December 31, 2032, introduce the concept of transferability of such tax credits, expand the credit such that it is capped at $100,000 per item and increase eligibility requirements to require installation of EV charging stations in certain census tracts along with meeting prevailing wage and apprenticeship requirements, among other changes. The OBBBA accelerated the phase-out of IRA credits and 30C income tax credits are now scheduled to expire on June 30, 2026 for any property placed in service after that date. The Company did not transfer any 30C income tax credits during the three or six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Delta Charger Supply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2022, we entered into the Delta Charger Supply Agreement and the Purchase Order with Delta, pursuant to which we will purchase and Delta will sell EV chargers manufactured by Delta from time to time in specified quantities at certain delivery dates over a period of four years. We are obligated to purchase at least 1,000 chargers (which will enable the construction of 2,000 stalls) pursuant to the Delta Charger Supply Agreement and the Purchase Order with the option, at our election, to increase the number of chargers purchased to 1,100. Under the terms of the Purchase Order, we are required to make full payment on such chargers within 60 days of receipt. Our obligations under the Purchase Order are take-or-pay obligations; however, our liability is capped at a maximum of the greater of $30.0 million or 50% of the value of any outstanding firm orders. We entered into the Delta Charger Supply Agreement and Purchase Order in order to meet our obligations under the Pilot Infrastructure Agreement, other potential contractual commitments and our own needs and we intend to fund the capital expenditure required under the Delta Charger Supply Agreement and Purchase Order with proceeds from the Pilot Infrastructure Agreement as well as cash, cash equivalents and restricted cash on hand.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of the Tax Receivable Agreement commenced upon the completion of the CRIS Business Combination and will continue until all tax benefits that are subject to the Tax Receivable Agreement have been utilized or expired and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required payments are made, unless the Tax Receivable Agreement is terminated early (including upon a change of control). The actual timing and amount of any payments that may be made under the Tax Receivable Agreement are unknown at this time and will vary based on a number of factors. However, the Company Group expects that the payments that it will be required to make to TRA Holders in connection with the Tax Receivable Agreement will be substantial. Any payments made by the Company Group to TRA Holders under the Tax Receivable Agreement will generally reduce the amount of cash that might have otherwise been available to us or EVgo OpCo. To the extent EVgo OpCo has available cash and subject to the terms of any current or future debt or other agreements, the EVgo OpCo A&amp;R LLC Agreement will require EVgo OpCo to make pro rata cash distributions to holders of EVgo OpCo Units, including Thunder Sub, in an amount sufficient to allow the Company Group to pay its taxes and to make payments under the Tax Receivable Agreement. We generally expect EVgo OpCo to fund such distributions out of available cash. However, except in cases where the Company Group elects to terminate the Tax Receivable Agreement early, the Tax Receivable Agreement is terminated early due to certain mergers or other changes of control, or the Company Group has available cash but fails to make payments when due, generally the Company Group may elect to defer payments due under the Tax Receivable Agreement if it does not have available cash to satisfy its payment obligations under the Tax Receivable Agreement or if its contractual obligations limit its ability to make these payments. Any such deferred payments under the Tax Receivable Agreement generally will accrue interest at the rate provided for in the Tax Receivable Agreement and such interest may significantly exceed the Company Group’s other costs of capital. In certain circumstances (including an early termination of the Tax Receivable Agreement due to a change of control or otherwise), payments under the Tax Receivable Agreement may be accelerated and/or significantly exceed the actual benefits, if any, the Company Group realizes in respect of the tax attributes subject to the Tax Receivable Agreement. In the case of such an acceleration in connection with a change of control, where applicable, we generally expect the accelerated payments due under the Tax Receivable Agreement to be funded out of the proceeds of the change of control transaction giving rise to such acceleration, which could have a significant impact on our ability to consummate a change of control or the proceeds received by our stockholders in connection with a change of control. However, the Company Group may be required to fund such payment from other sources and, as a result, any early termination of the Tax Receivable Agreement could have a substantial negative impact on our liquidity or financial condition.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w:t>
      </w:r>
    </w:p>
    <w:tbl>
      <w:tblPr>
        <w:tblW w:w="8094" w:type="dxa"/>
        <w:jc w:val="left"/>
        <w:tblInd w:w="0" w:type="dxa"/>
        <w:tblLayout w:type="fixed"/>
        <w:tblCellMar>
          <w:top w:w="28" w:type="dxa"/>
          <w:left w:w="28" w:type="dxa"/>
          <w:bottom w:w="28" w:type="dxa"/>
          <w:right w:w="28" w:type="dxa"/>
        </w:tblCellMar>
      </w:tblPr>
      <w:tblGrid>
        <w:gridCol w:w="2016"/>
        <w:gridCol w:w="1772"/>
        <w:gridCol w:w="1777"/>
        <w:gridCol w:w="211"/>
        <w:gridCol w:w="796"/>
        <w:gridCol w:w="109"/>
        <w:gridCol w:w="109"/>
        <w:gridCol w:w="109"/>
        <w:gridCol w:w="109"/>
        <w:gridCol w:w="211"/>
        <w:gridCol w:w="72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provided by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(13,096)</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62,865 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operating activities for the six months ended June 30, 2026 was $41.9 million compared to cash provided by operating activities of $3.8 million for the six months ended June 30, 2025. This increase in cash (used in) provided by operating activities of $45.7 million was primarily due to an increase in our net loss of $27.3 million and a change in net cash outflows of $31.0 million resulting from changes in our operating assets and liabilities, partially offset by a change in non-cash charges of $12.5 million.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main drivers of the changes in operating assets and liabilities for the six months ended June 30, 2026 were a $15.8 million increase in deferred revenue from decreased amortization of revenue, a $7.4 million decrease in accounts receivable due to collections from customers outpacing new billings and a $6.8 million increase in accrued liabilities. </w:t>
      </w:r>
    </w:p>
    <w:p>
      <w:pPr>
        <w:pStyle w:val="TextBody"/>
        <w:bidi w:val="0"/>
        <w:spacing w:lineRule="auto" w:line="288" w:before="0" w:after="2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Investing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six months ended June 30, 2026 was $64.3 million, compared to $41.2 million for the six months ended June 30, 2025. The increase was primarily driven by an increase in capital expenditures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Financing Activities</w:t>
      </w:r>
    </w:p>
    <w:p>
      <w:pPr>
        <w:pStyle w:val="TextBody"/>
        <w:bidi w:val="0"/>
        <w:spacing w:lineRule="auto" w:line="288" w:before="0" w:after="240"/>
        <w:ind w:left="0" w:right="0" w:firstLine="360"/>
        <w:jc w:val="both"/>
        <w:rPr/>
      </w:pPr>
      <w:r>
        <w:rPr>
          <w:rFonts w:ascii="Times New Roman;serif" w:hAnsi="Times New Roman;serif"/>
          <w:b w:val="false"/>
          <w:color w:val="000000"/>
          <w:sz w:val="20"/>
        </w:rPr>
        <w:t>Cash provided by financing activities for the six months ended June 30, 2026 was $93.1 million compared to $100.2 million for the six months ended June 30, 2025. The decrease was driven primarily by a $7.6 million</w:t>
      </w:r>
      <w:r>
        <w:rPr>
          <w:color w:val="000000"/>
        </w:rPr>
        <w:t xml:space="preserve"> </w:t>
      </w:r>
      <w:r>
        <w:rPr>
          <w:rFonts w:ascii="Times New Roman;serif" w:hAnsi="Times New Roman;serif"/>
          <w:b w:val="false"/>
          <w:color w:val="000000"/>
          <w:sz w:val="20"/>
        </w:rPr>
        <w:t>change in proceeds from long-term debt, partially offset by a $2.1 million decrease in payments of deferred debt issuance costs compared to the same prior-year period.</w:t>
      </w:r>
    </w:p>
    <w:p>
      <w:pPr>
        <w:pStyle w:val="TextBody"/>
        <w:bidi w:val="0"/>
        <w:spacing w:lineRule="auto" w:line="288" w:before="0" w:after="240"/>
        <w:ind w:left="0" w:right="0" w:firstLine="360"/>
        <w:jc w:val="both"/>
        <w:rPr/>
      </w:pPr>
      <w:r>
        <w:rPr>
          <w:rFonts w:ascii="Times New Roman;serif" w:hAnsi="Times New Roman;serif"/>
          <w:b w:val="false"/>
          <w:color w:val="000000"/>
          <w:sz w:val="20"/>
        </w:rPr>
        <w:t>Our working capital as of June 30, 2026 was $148.1 million, compared to $161.2 million as of December 31, 2025. The decrease was driven primarily by a $17.0 million decrease in cash and cash equivalents and restricted cash, current and a $9.3 million decrease in accounts receivable, net, partially offset by a $10.7 million</w:t>
      </w:r>
      <w:r>
        <w:rPr>
          <w:color w:val="000000"/>
        </w:rPr>
        <w:t xml:space="preserve"> </w:t>
      </w:r>
      <w:r>
        <w:rPr>
          <w:rFonts w:ascii="Times New Roman;serif" w:hAnsi="Times New Roman;serif"/>
          <w:b w:val="false"/>
          <w:color w:val="000000"/>
          <w:sz w:val="20"/>
        </w:rPr>
        <w:t>decrease in accrued liabilities and a $9.2 million decrease in deferred revenue, current.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have material cash requirements for known contractual obligations and commitments in the form of operating leases, purchase commitments and certain other liabilities that are disclosed in Part I, Item 1, </w:t>
      </w:r>
      <w:r>
        <w:rPr>
          <w:color w:val="000000"/>
        </w:rPr>
        <w:t>“</w:t>
      </w:r>
      <w:r>
        <w:rPr>
          <w:rFonts w:ascii="Times New Roman;serif" w:hAnsi="Times New Roman;serif"/>
          <w:b w:val="false"/>
          <w:i/>
          <w:color w:val="000000"/>
          <w:sz w:val="20"/>
        </w:rPr>
        <w:t>Financial Statements — Note 10 — Commitments and Contingencies.”</w:t>
      </w:r>
      <w:r>
        <w:rPr>
          <w:color w:val="000000"/>
        </w:rPr>
        <w:t xml:space="preserve"> </w:t>
      </w:r>
      <w:r>
        <w:rPr>
          <w:rFonts w:ascii="Times New Roman;serif" w:hAnsi="Times New Roman;serif"/>
          <w:b w:val="false"/>
          <w:color w:val="000000"/>
          <w:sz w:val="20"/>
        </w:rPr>
        <w:t>We generally expect to fund these obligations through our existing cash, cash equivalents and restricted cash, draws under our debt agreements, and future financing or cash flows from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no off-balance sheet arrangements or obligations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 xml:space="preserve">Critical Accounting Policies and Estimates </w:t>
      </w:r>
    </w:p>
    <w:p>
      <w:pPr>
        <w:pStyle w:val="TextBody"/>
        <w:bidi w:val="0"/>
        <w:spacing w:before="0" w:after="0"/>
        <w:jc w:val="left"/>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The discussion and analysis of our financial condition and results of operations is based upon our condensed consolidated financial statements, which have been prepared in accordance with GAAP. The preparation of our financial statements requires us to make judgments, estimates and assumptions that affect the reported amounts of assets, liabilities, income and expenses and related disclosures of contingent assets and liabilities. Management bases these estimates on our historical experience and various other assumptions that we believe to be reasonable under the circumstances. Actual results experienced may vary materially and adversely from our estimates. Revisions to estimates are recognized prospectively. See Part I, Item 1, “</w:t>
      </w:r>
      <w:r>
        <w:rPr>
          <w:rFonts w:ascii="Times New Roman;serif" w:hAnsi="Times New Roman;serif"/>
          <w:b w:val="false"/>
          <w:i/>
          <w:color w:val="000000"/>
          <w:sz w:val="20"/>
        </w:rPr>
        <w:t>Financial Statements — Note 2 — Summary of Significant Accounting Policies”</w:t>
      </w:r>
      <w:r>
        <w:rPr>
          <w:color w:val="000000"/>
        </w:rPr>
        <w:t xml:space="preserve"> </w:t>
      </w:r>
      <w:r>
        <w:rPr>
          <w:rFonts w:ascii="Times New Roman;serif" w:hAnsi="Times New Roman;serif"/>
          <w:b w:val="false"/>
          <w:color w:val="000000"/>
          <w:sz w:val="20"/>
        </w:rPr>
        <w:t>for additional description of the significant accounting policies that have been followed in preparing our condensed consolidated financial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accounting policy described below is considered to be the most critical to an understanding of our financial condition and results of operations and that require the most complex and subjective management judgment. We consider our critical accounting estimates to be those related to our revenue recognition, which is described below.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have elected not to use the practical expedient that allows you to combine non-lease components from lease components, which provide the customer with the right to use an identified asset, in the measurement of liabilities for all asset classes. The right to use an underlying asset is a separate lease component if (1) the lessee can benefit from the right to use the underlying asset either on its own or together with other resources that are readily available, and (2) the right to use the underlying asset is neither highly dependent on nor highly interrelated with other rights to use other underlying assets in the arrangement. We recognize revenue from lease components of lease contracts in accordance with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and non-lease components of lease contracts and customer contracts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Contract consideration for lease contracts is generally allocated between non-lease and lease components based on the relative SSP.</w:t>
      </w:r>
    </w:p>
    <w:p>
      <w:pPr>
        <w:pStyle w:val="TextBody"/>
        <w:bidi w:val="0"/>
        <w:spacing w:lineRule="auto" w:line="288"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Lease Accounting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lessor, we enter into agreements to lease charging equipment, charging stations and other technical installations to third parties. At the inception of a lease contract, we determine whether it is an operating, sales-type or direct financing lease. The leases generally provide for fixed monthly payments and sometimes include provisions for contingent variable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rent. Fixed payments received under lease agreements for lease components of operating leases are recognized on a straight-line basis over the lease term and are reported in AV and ancillary revenue in the condensed consolidated statements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(loss) on sales associated with sales-type leases are recognized when control of the underlying asset is transferred to the lessee (“commencement date”) and collection of the lease payments is considered probable. The income (loss) on sale is calculated as (1) the fair value of the underlying asset (or the sum of the lease receivables and any prepaid lease payments by lessee, if lower) (“sales price”); minus (2) the carrying amount of the underlying asset net of any unguaranteed residual asset; minus (3) any deferred initial direct costs of the lessor (2 and 3 are collectively referred to as the “cost of sales”). The sales price is reported in AV and ancillary revenue and the cost of sales is reported in other cost of sales in the condensed consolidated statements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collectibility of the financing receivables is not considered probable at the commencement date, we will not derecognize the underlying asset but will recognize lease payments received, including variable lease payments, as a deposit liability until the earlier of either of the following: (a) collectibility of the lease payments, plus any amount necessary to satisfy a residual value guarantee provided by the lessee, becomes probable; or (b) either of the following events occurs: (i) the contract has been terminated and the lease payments received from the lessee are nonrefundable; or (ii) we have repossessed the underlying asset, we have no further obligation under the contract to the lessee, and the lease payments received from the lessee are nonrefundable. We will then derecognize the carrying amount of the underlying asset, derecognize the carrying amount of any deposit liability recognized, recognize a net investment in the lease on the basis of the remaining lease payments and remaining lease term, using the rate implicit in the lease determined at the commencement date, and recognize the income (loss) on sale.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collectibility of the financing receivables is considered probable at the commencement date, any subsequent deterioration in the lessee’s credit quality would require that the net investment in lease be subject to an impairment analysis, which may result in recording an impairment charge.</w:t>
      </w:r>
    </w:p>
    <w:p>
      <w:pPr>
        <w:pStyle w:val="TextBody"/>
        <w:bidi w:val="0"/>
        <w:spacing w:lineRule="auto" w:line="288" w:before="0" w:after="2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Non-Lease Accounting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Recording revenue may require judgment, including determining whether an arrangement includes multiple performance obligations, whether any of those obligations are distinct and cannot be combined and allocation of the transaction price to each performance obligation based on the relative SSP. Revenue for performance obligations can be recognized over time or at a point in time depending on the nature of the performance obligation. Changes to the elements in an arrangement or, in our determination, to the relative SSP for these elements, could materially affect the amount of earned and unearned revenue reflected in our condensed consolidated financial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Understanding the complex terms of some of our agreements and determining the appropriate time, amount and method under which we should recognize revenue for the related transactions requires significant judgment. We exercise judgment in determining which promises in a contract constitute performance obligations rather than set-up activities. We determine which activities under a contract transfer a good or service to a customer rather than activities that are required to fulfill a contract but do not transfer control of a good or service to the customer. Determining whether obligations in a contract are considered distinct performance obligations that should be accounted for separately or as a single performance obligation requires significant judgment. In reaching our conclusion, we assess the nature of each individual service offering and how the services are provided in the context of the contract, including whether the services are significantly integrated which may require judgment based on the facts and circumstances of the contract. We do not disclose the transaction price allocated to remaining performance obligations for (i) contracts for which we recognize revenue at the amount to which it has the right to invoice and (ii) contracts with variable consideration allocated entirely to a single performance obligation. Our remaining performance obligations under these contracts include providing charging services, branding services, and maintenance services, which will generally be recognized over the contract term. Our customer contracts may include variable consideration such as that due to the unknown number of users that will receive charging credits or an unknown number of sites that will receive maintenance services. For such variable consideration, we have determined it is not necessary to estimate variable consideration as the uncertainty resolves itself monthly in accordance with the contracts’ revenue recognition pattern. The timing and amount of revenue recognition in a period could vary if different judgments were made. We may also estimate variable consideration under the expected value method or the most likely amount method.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where there are multiple performance obligations, judgment is required to determine revenue for each distinct performance obligation. Determining the relative SSP for contracts that contain multiple performance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requires significant judgment to appropriately determine the suitable method for estimating the SSP. We determine SSP using observable pricing when available, which takes into consideration market conditions and customer specific factors.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contract inception, we determine whether we satisfy the performance obligation over time or at a point in time. Revenues from charging — OEM are primarily recognized ratably over time or as fee-bearing usage occurs. Revenues from charging — retail, charging — commercial and LCFS are usage-based services and recognized over time or at a point in time upon the delivery of the charging products or services. eXtend and AV and ancillary revenues are recognized over time based on a time-based or cost-based approach or at a point in time as performance obligations are satisfied.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For a discussion of our recently adopted accounting pronouncements, see Part I, Item 1, </w:t>
      </w:r>
      <w:r>
        <w:rPr>
          <w:color w:val="000000"/>
        </w:rPr>
        <w:t>“</w:t>
      </w:r>
      <w:r>
        <w:rPr>
          <w:rFonts w:ascii="Times New Roman;serif" w:hAnsi="Times New Roman;serif"/>
          <w:b w:val="false"/>
          <w:i/>
          <w:color w:val="000000"/>
          <w:sz w:val="20"/>
        </w:rPr>
        <w:t>Financial Statements — Note 2 — Summary of Significant Accounting Policies</w:t>
      </w:r>
      <w:r>
        <w:rPr>
          <w:color w:val="000000"/>
        </w:rPr>
        <w:t xml:space="preserve">” </w:t>
      </w:r>
      <w:r>
        <w:rPr>
          <w:rFonts w:ascii="Times New Roman;serif" w:hAnsi="Times New Roman;serif"/>
          <w:b w:val="false"/>
          <w:color w:val="000000"/>
          <w:sz w:val="20"/>
        </w:rPr>
        <w:t>as of June 30, 2026 and December 31, 2025 and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primarily relates to fluctuating interest rates under our Credit Agreement.</w:t>
      </w:r>
    </w:p>
    <w:p>
      <w:pPr>
        <w:pStyle w:val="TextBody"/>
        <w:bidi w:val="0"/>
        <w:spacing w:lineRule="auto" w:line="288" w:before="0" w:after="240"/>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on our variable rate borrowings under our Credit Agreement, which bears interest at SOFR plus an applicable margin. Accordingly, interest rate fluctuations affect the amount of interest expense we are obligated to pay. We currently use an interest rate collar to manage our exposure to interest rate changes. We have designated the interest rate collar as a cash flow hedge for accounting purposes. Accordingly, the earnings impact of the collar is recorded upon the recognition of the interest related to the hedged debt. There was no significant ineffectiveness for the three months ended June 30,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we entered into an interest rate collar with an initial notional amount of approximately $35.7 million (subject to amortization), effective June 30, 2026 and maturing July 23, 2030. The collar caps our exposure to SOFR at 4.250% and establishes a floor of 3.715%. The collar was entered into on a zero-cost basis, with no net premium paid or received.</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Taking our interest rate collar into account, a sensitivity analysis of the impact on our variable rate under our Credit Agreement to a hypothetical 100 basis point increase in SOFR for the three months ended June 30, 2026 would not have a material impact on the quarterly interest expense. To the extent SOFR exceeds the cap rate of 4.250%, the collar would offset the incremental interest cost above that level for the hedged notional amount.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Management’s Evaluation of Disclosure Controls and Procedures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 Rules 13a-15(e) and 15d-15(e) under the Exchange Act,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our Chief Executive Officer and Chief Financial Officer, or persons performing similar functions, as appropriate to allow timely decisions regarding required disclosure.</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Under the supervision of our Board of Directors and with the participation of management, including our Chief Executive Officer and Chief Financial Officer, or the “certifying officers,” we conducted an evaluation of the effectiveness of the design and operation of our disclosure controls and procedures (as defined in and pursuant to Rules 13a-15(e) and 15d-15(e) under the Exchange Act) as of June 30, 2026. The certifying officers concluded that, as a result of the material weaknesses in internal control over financial reporting described below, our disclosure controls and procedures were not effective as of June 30, 2026; accordingly, we are implementing additional policies and procedures to remediate these shortcomings as outlined in Part II, Item 9A, </w:t>
      </w:r>
      <w:r>
        <w:rPr>
          <w:color w:val="000000"/>
        </w:rPr>
        <w:t>“</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our Annual Report on Form 10-K for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the identified material weaknesses, we believe the condensed consolidated financial statements included in this Quarterly Report present fairly, in all material respects, our financial position, results of operations and cash flows as of and for the periods presented, in accordance with U.S. GAAP.</w:t>
      </w: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Changes in Internal Control Over Financial Reporting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Other than the remediation progress described in Part II, Item 9A, </w:t>
      </w:r>
      <w:r>
        <w:rPr>
          <w:color w:val="000000"/>
        </w:rPr>
        <w:t>“</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the Annual Report, there has been no change in our internal control over financial reporting during the quarter ended June 30, 2026 that have materially affected, or are reasonably likely to materially affect, our internal control over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no longer qualified as an emerging growth company and will be subject to the provisions of Section 404(b) of the Sarbanes-Oxley Act. In connection with our annual report on Form 10-K for the fiscal year ending December 31, 2025, our independent registered public accounting firm formally attested to the effectiveness of our internal controls over financial reporting.</w:t>
      </w: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Existing Material Weaknesses in Internal Control over Financial Reporting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previously identified material weaknesses in our internal control over financial reporting, as identified below and disclosed in Part II, Item 9A, </w:t>
      </w:r>
      <w:r>
        <w:rPr>
          <w:color w:val="000000"/>
        </w:rPr>
        <w:t>“</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the Annual Report.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material weaknesses in internal control over financial reporting were identified as of December 31, 2025: We did not effectively design, implement or operate sufficient and appropriate process level control activities related to our financial reporting processes. Additionally, we had ineffective general information technology controls (“GITCs”) for certain IT systems related to charging revenue, which results in a corresponding failure of automated process level controls and manual controls dependent on the accuracy and completeness of information derived from those IT systems.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weaknesses were due to a lack of a sufficient number of trained resources to identify the underlying data and reports relied upon in our financial reporting process and to sufficiently design, implement or operate process level controls, including controls to validate the completeness and accuracy of underlying data and reports. We also did not have an effective information and communication process to identify, capture, and process relevant information necessary for financial reporting. Further, there was insufficient monitoring to ensure the appropriateness of control design and implementation and to ensure the appropriateness of the level of documentation maintained to support the operation of internal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Item 1. Legal Proceedings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a party to legal proceedings or subject to claims arising in the ordinary course of business. 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Item 1A. Risk Factors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course of conducting our business operations, we are exposed to a variety of risks, any of which have affected or could materially adversely affect our business, financial condition, and results of operations. The market price of our securities could decline, possibly significantly or permanently, if one or more of these risks and uncertainties occur. Before you make a decision to buy our securities, in addition to the risks and uncertainties discussed above under “Cautionary Statement Regarding Forward-Looking Statements,” you should carefully consider the specific risk factors set forth in the “Risk Factors” section in the Annual Report. There have been no material changes to the risk factors disclosed in Part I, Item 1A of the Annual Report. See the “Item 5 - Other Information” section for additional information regarding the amendment of the DOE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Item 2. Unregistered Sales of Equity Securities and Use of Proceeds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Item 3. Defaults Upon Senior Securities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Item 4. Mine Safety Disclosures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u w:val="single"/>
        </w:rPr>
      </w:pPr>
      <w:r>
        <w:rPr>
          <w:rFonts w:ascii="Times New Roman;serif" w:hAnsi="Times New Roman;serif"/>
          <w:b/>
          <w:i/>
          <w:color w:val="000000"/>
          <w:sz w:val="20"/>
          <w:u w:val="single"/>
        </w:rPr>
        <w:t>Item 5. Other Information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Section 16 officers adopted, modified or terminated a “Rule 10b5-1 trading arrangement” (as defined in Item 408 of Regulation S-K of the Exchange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“non-Rule 10b5-1 trading arrangements” (as defined in Item 408 of Regulation S-K of the Exchange Act) adopted, modified or terminated during the three months ended June 30, 2026 by any of our Section 16 officers or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Item 6. Exhibits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Exhibit Index.</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6"/>
        <w:gridCol w:w="241"/>
        <w:gridCol w:w="244"/>
        <w:gridCol w:w="109"/>
        <w:gridCol w:w="109"/>
        <w:gridCol w:w="109"/>
        <w:gridCol w:w="2735"/>
        <w:gridCol w:w="2629"/>
        <w:gridCol w:w="3753"/>
      </w:tblGrid>
      <w:tr>
        <w:trPr/>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00"/>
                  <w:sz w:val="20"/>
                  <w:u w:val="single"/>
                </w:rPr>
                <w:t>Third Amended and Restated Certificate of Incorporation of the Company (incorporated by reference to Exhibit 3.1 to the Company’s Current Report on Form 8-K, filed with the Securities and Exchange Commission on May 22, 2023).</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00"/>
                  <w:sz w:val="20"/>
                  <w:u w:val="single"/>
                </w:rPr>
                <w:t>Amended and Restated Bylaws of the Company (incorporated by reference to Exhibit 3.2 to the Company’s Current Report on Form 8-K, filed with the Securities and Exchange Commission on July 8, 2022).</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00"/>
                  <w:sz w:val="20"/>
                  <w:u w:val="single"/>
                </w:rPr>
                <w:t>Specimen Class A Common Stock Certificate (incorporated by reference to Exhibit 4.2 to the Company’s Registration Statement on Form S-1 (Registration No. 333-248718), filed with the Securities and Exchange Commission on September 10, 2020).</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erif" w:hAnsi="Times New Roman;serif"/>
                  <w:b w:val="false"/>
                  <w:color w:val="000000"/>
                  <w:sz w:val="20"/>
                  <w:u w:val="single"/>
                </w:rPr>
                <w:t>Specimen Warrant Certificate (incorporated by reference to Exhibit 4.4 to the Company’s Registration Statement on Form S-1 (Registration No. 333-248718), filed with the Securities and Exchange Commission on September 10, 2020).</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
              <w:r>
                <w:rPr>
                  <w:rStyle w:val="InternetLink"/>
                  <w:rFonts w:ascii="Times New Roman;serif" w:hAnsi="Times New Roman;serif"/>
                  <w:b w:val="false"/>
                  <w:color w:val="000000"/>
                  <w:sz w:val="20"/>
                  <w:u w:val="single"/>
                </w:rPr>
                <w:t>Warrant Agreement, dated September 29, 2020, between the Company and Continental Stock Transfer &amp; Trust Company (incorporated by reference to Exhibit 4.1 to the Company’s Current Report on Form 8-K, filed with the Securities and Exchange Commission on October 5, 2020).</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vgoex3112026-06x30.htm">
              <w:r>
                <w:rPr>
                  <w:rStyle w:val="InternetLink"/>
                  <w:rFonts w:ascii="Times New Roman;serif" w:hAnsi="Times New Roman;serif"/>
                  <w:b w:val="false"/>
                  <w:color w:val="000000"/>
                  <w:sz w:val="20"/>
                  <w:u w:val="single"/>
                </w:rPr>
                <w:t>Certification of Chief Executive Officer Pursuant to Section 302 of the Sarbanes-Oxley Act of 2002.</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vgoex3122026-06x30.htm">
              <w:r>
                <w:rPr>
                  <w:rStyle w:val="InternetLink"/>
                  <w:rFonts w:ascii="Times New Roman;serif" w:hAnsi="Times New Roman;serif"/>
                  <w:b w:val="false"/>
                  <w:color w:val="000000"/>
                  <w:sz w:val="20"/>
                  <w:u w:val="single"/>
                </w:rPr>
                <w:t>Certification of Chief Financial Officer Pursuant to Section 302 of the Sarbanes-Oxley Act of 2002.</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evgoex3212026-06x30.htm">
              <w:r>
                <w:rPr>
                  <w:rStyle w:val="InternetLink"/>
                  <w:rFonts w:ascii="Times New Roman;serif" w:hAnsi="Times New Roman;serif"/>
                  <w:b w:val="false"/>
                  <w:color w:val="000000"/>
                  <w:sz w:val="20"/>
                  <w:u w:val="single"/>
                </w:rPr>
                <w:t>Certification of Chief Executive Officer and Chief Financial Officer Pursuant to 18 U.S.C. Section 1350, as adopted pursuant to Section 906 of the Sarbanes-Oxley Act of 2002.</w:t>
              </w:r>
            </w:hyperlink>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100"/>
        <w:jc w:val="left"/>
        <w:rPr>
          <w:rFonts w:ascii="Times New Roman;serif" w:hAnsi="Times New Roman;serif"/>
          <w:b w:val="false"/>
          <w:i/>
          <w:color w:val="000000"/>
          <w:sz w:val="16"/>
        </w:rPr>
      </w:pPr>
      <w:r>
        <w:rPr>
          <w:rFonts w:ascii="Times New Roman;serif" w:hAnsi="Times New Roman;serif"/>
          <w:b w:val="false"/>
          <w:i/>
          <w:color w:val="000000"/>
          <w:sz w:val="16"/>
        </w:rPr>
        <w:t>_______________________________________________________________________________________________</w:t>
      </w:r>
    </w:p>
    <w:p>
      <w:pPr>
        <w:pStyle w:val="TextBody"/>
        <w:bidi w:val="0"/>
        <w:spacing w:lineRule="auto" w:line="288" w:before="0" w:after="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Furnished herewith.</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Certain information has been omitted from this exhibit pursuant to Item 601(b)(10)(iv) of Regulation S-K because such information is both not material and is the type of information that the registrant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600"/>
        <w:jc w:val="left"/>
        <w:rPr/>
      </w:pPr>
      <w:hyperlink w:anchor="ic87f8a74faaa4d159c11dee4d6d573b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5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33"/>
        <w:gridCol w:w="197"/>
        <w:gridCol w:w="200"/>
        <w:gridCol w:w="734"/>
        <w:gridCol w:w="734"/>
        <w:gridCol w:w="105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EVgo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Badar Khan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Badar Khan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Keefer Lehner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Keefer Lehner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EXCHANGE ACT RULE 13a-14(a)/15d-14(a) AS ADOPTED PURSUANT TO SECTION 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Badar Khan, certify that: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EVgo Inc.;</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948"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721"/>
        <w:gridCol w:w="721"/>
        <w:gridCol w:w="10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85"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Badar Khan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Badar Khan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Exhibit 31.2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EXCHANGE ACT RULE 13a-14(a)/15d-14(a) AS ADOPTED PURSUANT TO SECTION 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Keefer Lehner, certify that: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EVgo Inc.;</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0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888"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707"/>
        <w:gridCol w:w="707"/>
        <w:gridCol w:w="10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85"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Keefer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Keefer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 PURSUANT TO 18 U.S.C. SECTION 1350 AS ADOPTED PURSUANT TO SECTION 906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each of the undersigned, in the capacities and on the date indicated below, hereby certify, that, to their knowledge:</w:t>
      </w:r>
    </w:p>
    <w:p>
      <w:pPr>
        <w:pStyle w:val="TextBody"/>
        <w:bidi w:val="0"/>
        <w:spacing w:lineRule="auto" w:line="288" w:before="0" w:after="120"/>
        <w:ind w:left="0" w:right="0" w:hanging="749"/>
        <w:jc w:val="left"/>
        <w:rPr>
          <w:rFonts w:ascii="Times New Roman;serif" w:hAnsi="Times New Roman;serif"/>
          <w:b w:val="false"/>
          <w:color w:val="000000"/>
          <w:sz w:val="20"/>
        </w:rPr>
      </w:pPr>
      <w:r>
        <w:rPr>
          <w:rFonts w:ascii="Times New Roman;serif" w:hAnsi="Times New Roman;serif"/>
          <w:b w:val="false"/>
          <w:color w:val="000000"/>
          <w:sz w:val="20"/>
        </w:rPr>
        <w:t xml:space="preserve">(1)The Quarterly Report on Form 10-Q for the period ended June 30, 2026 (the “Report”) of EVgo Inc. (the “Company”) fully complies with the requirements of Section 13(a) or Section 15(d) of the Securities Exchange Act of 1934; and </w:t>
      </w:r>
    </w:p>
    <w:p>
      <w:pPr>
        <w:pStyle w:val="TextBody"/>
        <w:bidi w:val="0"/>
        <w:spacing w:lineRule="auto" w:line="288" w:before="0" w:after="240"/>
        <w:ind w:left="0" w:right="0" w:hanging="749"/>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tbl>
      <w:tblPr>
        <w:tblW w:w="4948"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721"/>
        <w:gridCol w:w="721"/>
        <w:gridCol w:w="10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85"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Badar Khan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Badar Khan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85"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Keefer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Keefer Lehner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159/000110465923063161/tm2315842d1_ex3-1.htm" TargetMode="External"/><Relationship Id="rId3" Type="http://schemas.openxmlformats.org/officeDocument/2006/relationships/hyperlink" Target="https://www.sec.gov/Archives/edgar/data/0001821159/000110465921090210/tm2120697d1_ex3-2.htm" TargetMode="External"/><Relationship Id="rId4" Type="http://schemas.openxmlformats.org/officeDocument/2006/relationships/hyperlink" Target="https://www.sec.gov/Archives/edgar/data/1821159/000114036120020150/nt10014364x2_ex4-2.htm" TargetMode="External"/><Relationship Id="rId5" Type="http://schemas.openxmlformats.org/officeDocument/2006/relationships/hyperlink" Target="https://www.sec.gov/Archives/edgar/data/1821159/000114036120020150/nt10014364x2_ex4-4.htm" TargetMode="External"/><Relationship Id="rId6" Type="http://schemas.openxmlformats.org/officeDocument/2006/relationships/hyperlink" Target="https://www.sec.gov/Archives/edgar/data/1821159/000114036120022466/nc10015778x1_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33455</Words>
  <Characters>185248</Characters>
  <CharactersWithSpaces>216712</CharactersWithSpaces>
  <Paragraphs>3155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