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7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14, 2026</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EVgo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001-39572</w:t>
            </w:r>
          </w:p>
        </w:tc>
        <w:tc>
          <w:tcPr>
            <w:tcW w:w="8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85-2326098</w:t>
            </w:r>
          </w:p>
        </w:tc>
        <w:tc>
          <w:tcPr>
            <w:tcW w:w="40" w:type="dxa"/>
            <w:vAlign w:val="bottom"/>
          </w:tcPr>
          <w:p>
            <w:pPr>
              <w:spacing w:after="0"/>
              <w:rPr>
                <w:sz w:val="21"/>
                <w:szCs w:val="21"/>
                <w:color w:val="auto"/>
              </w:rPr>
            </w:pPr>
          </w:p>
        </w:tc>
      </w:tr>
      <w:tr>
        <w:trPr>
          <w:trHeight w:val="149"/>
        </w:trPr>
        <w:tc>
          <w:tcPr>
            <w:tcW w:w="3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rPr>
              <w:t>(Commission File Number)</w:t>
            </w:r>
          </w:p>
        </w:tc>
        <w:tc>
          <w:tcPr>
            <w:tcW w:w="3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40" w:type="dxa"/>
            <w:vAlign w:val="bottom"/>
          </w:tcPr>
          <w:p>
            <w:pPr>
              <w:spacing w:after="0"/>
              <w:rPr>
                <w:sz w:val="12"/>
                <w:szCs w:val="12"/>
                <w:color w:val="auto"/>
              </w:rPr>
            </w:pPr>
          </w:p>
        </w:tc>
      </w:tr>
      <w:tr>
        <w:trPr>
          <w:trHeight w:val="188"/>
        </w:trPr>
        <w:tc>
          <w:tcPr>
            <w:tcW w:w="42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incorporation)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40" w:type="dxa"/>
            <w:vAlign w:val="bottom"/>
          </w:tcPr>
          <w:p>
            <w:pPr>
              <w:spacing w:after="0"/>
              <w:rPr>
                <w:sz w:val="16"/>
                <w:szCs w:val="16"/>
                <w:color w:val="auto"/>
              </w:rPr>
            </w:pPr>
          </w:p>
        </w:tc>
      </w:tr>
      <w:tr>
        <w:trPr>
          <w:trHeight w:val="508"/>
        </w:trPr>
        <w:tc>
          <w:tcPr>
            <w:tcW w:w="4280" w:type="dxa"/>
            <w:vAlign w:val="bottom"/>
            <w:gridSpan w:val="3"/>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9"/>
              </w:rPr>
              <w:t>1661 East Franklin Avenue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80" w:type="dxa"/>
            <w:vAlign w:val="bottom"/>
            <w:gridSpan w:val="3"/>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rPr>
              <w:t>El Segundo, CA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0" w:type="dxa"/>
            <w:vAlign w:val="bottom"/>
          </w:tcPr>
          <w:p>
            <w:pPr>
              <w:jc w:val="right"/>
              <w:ind w:right="2403"/>
              <w:spacing w:after="0"/>
              <w:rPr>
                <w:sz w:val="20"/>
                <w:szCs w:val="20"/>
                <w:color w:val="auto"/>
              </w:rPr>
            </w:pPr>
            <w:r>
              <w:rPr>
                <w:rFonts w:ascii="Times New Roman" w:cs="Times New Roman" w:eastAsia="Times New Roman" w:hAnsi="Times New Roman"/>
                <w:sz w:val="16"/>
                <w:szCs w:val="16"/>
                <w:b w:val="1"/>
                <w:bCs w:val="1"/>
                <w:color w:val="auto"/>
              </w:rPr>
              <w:t>90245</w:t>
            </w:r>
          </w:p>
        </w:tc>
        <w:tc>
          <w:tcPr>
            <w:tcW w:w="40" w:type="dxa"/>
            <w:vAlign w:val="bottom"/>
          </w:tcPr>
          <w:p>
            <w:pPr>
              <w:spacing w:after="0"/>
              <w:rPr>
                <w:sz w:val="21"/>
                <w:szCs w:val="21"/>
                <w:color w:val="auto"/>
              </w:rPr>
            </w:pPr>
          </w:p>
        </w:tc>
      </w:tr>
      <w:tr>
        <w:trPr>
          <w:trHeight w:val="33"/>
        </w:trPr>
        <w:tc>
          <w:tcPr>
            <w:tcW w:w="42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6"/>
        </w:trPr>
        <w:tc>
          <w:tcPr>
            <w:tcW w:w="4280" w:type="dxa"/>
            <w:vAlign w:val="bottom"/>
            <w:gridSpan w:val="3"/>
          </w:tcPr>
          <w:p>
            <w:pPr>
              <w:jc w:val="center"/>
              <w:ind w:left="108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jc w:val="center"/>
              <w:ind w:right="1703"/>
              <w:spacing w:after="0"/>
              <w:rPr>
                <w:sz w:val="20"/>
                <w:szCs w:val="20"/>
                <w:color w:val="auto"/>
              </w:rPr>
            </w:pPr>
            <w:r>
              <w:rPr>
                <w:rFonts w:ascii="Times New Roman" w:cs="Times New Roman" w:eastAsia="Times New Roman" w:hAnsi="Times New Roman"/>
                <w:sz w:val="14"/>
                <w:szCs w:val="14"/>
                <w:color w:val="auto"/>
              </w:rPr>
              <w:t>(Zip Code)</w:t>
            </w:r>
          </w:p>
        </w:tc>
        <w:tc>
          <w:tcPr>
            <w:tcW w:w="40" w:type="dxa"/>
            <w:vAlign w:val="bottom"/>
          </w:tcPr>
          <w:p>
            <w:pPr>
              <w:spacing w:after="0"/>
              <w:rPr>
                <w:sz w:val="16"/>
                <w:szCs w:val="16"/>
                <w:color w:val="auto"/>
              </w:rPr>
            </w:pPr>
          </w:p>
        </w:tc>
      </w:tr>
    </w:tbl>
    <w:p>
      <w:pPr>
        <w:spacing w:after="0" w:line="3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494-3833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1"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Wingdings" w:cs="Wingdings" w:eastAsia="Wingdings" w:hAnsi="Wingdings"/>
          <w:sz w:val="18"/>
          <w:szCs w:val="18"/>
          <w:b w:val="1"/>
          <w:bCs w:val="1"/>
          <w:color w:val="auto"/>
        </w:rPr>
      </w:pPr>
    </w:p>
    <w:p>
      <w:pPr>
        <w:ind w:right="2860" w:firstLine="26"/>
        <w:spacing w:after="0" w:line="464" w:lineRule="auto"/>
        <w:tabs>
          <w:tab w:leader="none" w:pos="35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30"/>
        </w:trPr>
        <w:tc>
          <w:tcPr>
            <w:tcW w:w="5880" w:type="dxa"/>
            <w:vAlign w:val="bottom"/>
            <w:tcBorders>
              <w:top w:val="single" w:sz="8" w:color="auto"/>
              <w:left w:val="single" w:sz="8" w:color="auto"/>
              <w:right w:val="single" w:sz="8" w:color="auto"/>
            </w:tcBorders>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76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5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5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Shares of Class A common stock, $0.0001 par value per share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EVGO</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33"/>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88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6"/>
                <w:szCs w:val="16"/>
                <w:color w:val="auto"/>
              </w:rPr>
              <w:t>Redeemable warrants, each whole warrant exercisable for one share of Class A</w:t>
            </w:r>
          </w:p>
        </w:tc>
        <w:tc>
          <w:tcPr>
            <w:tcW w:w="16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EVGOW</w:t>
            </w:r>
          </w:p>
        </w:tc>
        <w:tc>
          <w:tcPr>
            <w:tcW w:w="3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210"/>
        </w:trPr>
        <w:tc>
          <w:tcPr>
            <w:tcW w:w="58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common stock at an exercise price of $11.50</w:t>
            </w:r>
          </w:p>
        </w:tc>
        <w:tc>
          <w:tcPr>
            <w:tcW w:w="16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18, 2026, the board of directors of EVgo Inc. (the “Company”) appointed Amber Scott as the Company's Chief Accounting Officer and Principal Accounting Officer, effective May 18, 2026. Ms. Scott will assume the responsibilities of Principal Accounting Officer from Keefer Lehner, the Company’s Chief Financial Officer. Mr. Lehner will continue in his role as the Company’s Chief Financial Officer and Principal Financial Officer. Ms. Scott will report to Mr. Lehner.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Scott, age 42, has more than 20 years of finance and accounting experience. From October 2024 to May 2026, she served as Vice President of Finance and Principal Accounting Officer at Redwood Materials, where she oversaw worldwide accounting and tax functions. Prior to that, from January 2023 to October 2024, Ms. Scott served as Senior Vice President of Finance and Chief Accounting Officer at Powin Energy. Earlier in her career, from April 2016 to January 2023, Ms. Scott served at Flex Ltd., where she held roles of increasing responsibility, most recently serving as Vice President of Global Corporate Accounting. Ms. Scott began her career at Deloitte &amp; Touche LLP. She holds a Bachelor of Science in Business Administration from the University of Northern Colorado and is a licensed CPA in Colorado.</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her appointment, Ms. Scott will receive an annual base salary of $380,000 and will be eligible to participate in the Company's annual bonus program with a target bonus of 55% of base salary. Ms. Scott will receive fiscal year 2026 long-term incentive equity awards with an aggregate target value of $550,000 (subject to the Company's equity award price floor), consisting of 50% RSUs and 50% PSUs. In addition, Ms. Scott will receive a one-time sign-on award of $450,000 in a combination of cash and RSUs, the RSU portion of which vests in equal installments on July 1, 2027 and July 1, 2028. All equity awards will be granted under the Company's 2021 Equity Incentive Plan and subject to the terms and conditions of the Company's standard form of award agreements.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Scott and any director or executive officer of the Company, or any person nominated or chosen by the Company to become a director or executive officer of the Company. Ms. Scott has no direct or indirect material interest in any transaction required to be disclosed pursuant to Item 404(a) of Regulation S-K.</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Chief Accounting Officer and Principal Accounting Officer, Ms. Scott will enter into the Company’s standard form of indemnification agreement for its executive officers, which requires the Company, among other things, to indemnify its executive officers against liabilities that may arise by reason of their status or service and to advance all expenses incurred by executive officers in investigating or defending any action, suit or proceeding.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14, 2026, we held the Annual Meeting. At the close of business on March 19, 2026, the record date for the Annual Meeting, we had 313,579,998 shares of common stock outstanding. The holders of 270,471,892 shares of our common stock were present at the Annual Meeting, either virtually or by proxy, which constituted a quorum for the purpose of conducting business at the Annual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final voting results for each proposal submitted to a vote of the stockholders at the Annual Meeting.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 Election of Directors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nominees were re-elected by our stockholders to serve as Class II directors for a three-year term expiring at the 2029 annual meeting of stockholders based on the following results of voting. Each director’s term continues until the election and qualification of his successor or until his earlier retirement, resignation, disqualification, removal, or death.</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Darpan Kapadia</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209,632,639</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17,740,467</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43,098,786</w:t>
            </w:r>
          </w:p>
        </w:tc>
      </w:tr>
      <w:tr>
        <w:trPr>
          <w:trHeight w:val="230"/>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Seelig</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203,373,256</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23,999,850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43,098,786</w:t>
            </w:r>
          </w:p>
        </w:tc>
      </w:tr>
      <w:tr>
        <w:trPr>
          <w:trHeight w:val="229"/>
        </w:trPr>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Paul Segal</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214,194,914</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13,178,192</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43,098,786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 Ratification of Appointment of Independent Registered Public Accounting Firm</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appointment of KPMG LLP as our independent registered public accounting firm for the year ended December 31, 2026 was ratified by our stockholders based on the following results of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263,548,357</w:t>
            </w:r>
          </w:p>
        </w:tc>
        <w:tc>
          <w:tcPr>
            <w:tcW w:w="28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5,961,248</w:t>
            </w: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962,287</w:t>
            </w:r>
          </w:p>
        </w:tc>
        <w:tc>
          <w:tcPr>
            <w:tcW w:w="29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Advisory vote on the compensation of the Company’s named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The votes were cast as follows:</w:t>
            </w:r>
          </w:p>
        </w:tc>
        <w:tc>
          <w:tcPr>
            <w:tcW w:w="2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86"/>
        </w:trPr>
        <w:tc>
          <w:tcPr>
            <w:tcW w:w="2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96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224,536,490</w:t>
            </w:r>
          </w:p>
        </w:tc>
        <w:tc>
          <w:tcPr>
            <w:tcW w:w="26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2,396,626</w:t>
            </w: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439,990</w:t>
            </w:r>
          </w:p>
        </w:tc>
        <w:tc>
          <w:tcPr>
            <w:tcW w:w="29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43,098,786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 Advisory vote on the frequency at which the Say-on-Pay vote at future annual meetings of stockholders will be held.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The votes were cast as follows:</w:t>
            </w:r>
          </w:p>
        </w:tc>
        <w:tc>
          <w:tcPr>
            <w:tcW w:w="1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99"/>
        </w:trPr>
        <w:tc>
          <w:tcPr>
            <w:tcW w:w="26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8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Two Years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21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6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226,454,728</w:t>
            </w:r>
          </w:p>
        </w:tc>
        <w:tc>
          <w:tcPr>
            <w:tcW w:w="1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134,812</w:t>
            </w:r>
          </w:p>
        </w:tc>
        <w:tc>
          <w:tcPr>
            <w:tcW w:w="23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342,472</w:t>
            </w:r>
          </w:p>
        </w:tc>
        <w:tc>
          <w:tcPr>
            <w:tcW w:w="21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441,094</w:t>
            </w:r>
          </w:p>
        </w:tc>
        <w:tc>
          <w:tcPr>
            <w:tcW w:w="2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43,098,786</w:t>
            </w: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recommendation of the Company's board of directors and based on the results of the advisory vote reported above, the Company has determined that it will hold future advisory votes on the compensation of the Company's named executive officers on an annual basis until the next required advisory vote on the frequency of stockholder advisory vote on the compensation of the Company's named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r>
        <w:trPr>
          <w:trHeight w:val="174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EVgo Inc.</w:t>
            </w:r>
          </w:p>
        </w:tc>
      </w:tr>
      <w:tr>
        <w:trPr>
          <w:trHeight w:val="48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Keefer Lehner</w:t>
            </w:r>
          </w:p>
        </w:tc>
      </w:tr>
      <w:tr>
        <w:trPr>
          <w:trHeight w:val="237"/>
        </w:trPr>
        <w:tc>
          <w:tcPr>
            <w:tcW w:w="3400" w:type="dxa"/>
            <w:vAlign w:val="bottom"/>
          </w:tcPr>
          <w:p>
            <w:pPr>
              <w:spacing w:after="0"/>
              <w:rPr>
                <w:sz w:val="20"/>
                <w:szCs w:val="20"/>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Lehner</w:t>
            </w:r>
          </w:p>
        </w:tc>
      </w:tr>
      <w:tr>
        <w:trPr>
          <w:trHeight w:val="257"/>
        </w:trPr>
        <w:tc>
          <w:tcPr>
            <w:tcW w:w="3400" w:type="dxa"/>
            <w:vAlign w:val="bottom"/>
          </w:tcPr>
          <w:p>
            <w:pPr>
              <w:spacing w:after="0"/>
              <w:rPr>
                <w:sz w:val="22"/>
                <w:szCs w:val="22"/>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2026-05-19T15:11:03Z</dcterms:created>
  <dcterms:modified xsi:type="dcterms:W3CDTF">2026-05-19T15:11:03Z</dcterms:modified>
</cp:coreProperties>
</file>