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7428.xml.htm"/>
      <w:bookmarkStart w:id="1" w:name="kswkform4_17907174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Lehner Keefer McGovern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1661 EAST FRANKLIN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EVgo Inc.</w:t>
              </w:r>
            </w:hyperlink>
            <w:r>
              <w:rPr/>
              <w:t xml:space="preserve"> [ </w:t>
            </w:r>
            <w:r>
              <w:rPr>
                <w:rFonts w:ascii="Times;serif" w:hAnsi="Times;serif"/>
                <w:color w:val="0000FF"/>
                <w:sz w:val="24"/>
                <w:shd w:fill="FFFFFF" w:val="clear"/>
              </w:rPr>
              <w:t>EVGO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258,964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258,964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258,964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awarded under the Issuer's 2021 Long Term Incentive Plan (the "Plan"). Each RSU represents the contingent right to receive, upon vesting of the RSU, one share of the Issuer's Class A common stock, $0.0001 par value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RSUs subject to each award shall vest on the one-year anniversary of the February 1, 2026 and the remaining two-thirds of the RSUs subject to each award shall vest in eight substantially equal tranches on May 1, August 1, November 1 and February 1 thereafter, such that the award shall be fully vested on February 1, 2029, in each case subject to the Reporting Person's continued employment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Keefer Lehner, by Francine Sullivan,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2745" TargetMode="External"/><Relationship Id="rId5" Type="http://schemas.openxmlformats.org/officeDocument/2006/relationships/hyperlink" Target="http://www.sec.gov/cgi-bin/browse-edgar?action=getcompany&amp;CIK=00018211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3745</Characters>
  <CharactersWithSpaces>4370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