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5528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528945"/>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972"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gridSpan w:val="2"/>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Griffith Scott W.</w:t>
              </w:r>
            </w:hyperlink>
          </w:p>
        </w:tc>
        <w:tc>
          <w:tcPr>
            <w:tcW w:w="10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EVgo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EVGO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Borders>
              <w:bottom w:val="single" w:sz="8" w:color="0000EE"/>
            </w:tcBorders>
          </w:tcPr>
          <w:p>
            <w:pPr>
              <w:spacing w:after="0"/>
              <w:rPr>
                <w:sz w:val="5"/>
                <w:szCs w:val="5"/>
                <w:color w:val="auto"/>
              </w:rPr>
            </w:pPr>
          </w:p>
        </w:tc>
        <w:tc>
          <w:tcPr>
            <w:tcW w:w="294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tcBorders>
              <w:bottom w:val="single" w:sz="8" w:color="0000EE"/>
            </w:tcBorders>
            <w:gridSpan w:val="2"/>
            <w:vMerge w:val="continue"/>
          </w:tcPr>
          <w:p>
            <w:pPr>
              <w:spacing w:after="0"/>
              <w:rPr>
                <w:sz w:val="5"/>
                <w:szCs w:val="5"/>
                <w:color w:val="auto"/>
              </w:rPr>
            </w:pPr>
          </w:p>
        </w:tc>
        <w:tc>
          <w:tcPr>
            <w:tcW w:w="10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9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60" w:type="dxa"/>
            <w:vAlign w:val="bottom"/>
            <w:gridSpan w:val="2"/>
          </w:tcPr>
          <w:p>
            <w:pPr>
              <w:spacing w:after="0"/>
              <w:rPr>
                <w:sz w:val="6"/>
                <w:szCs w:val="6"/>
                <w:color w:val="auto"/>
              </w:rPr>
            </w:pPr>
          </w:p>
        </w:tc>
        <w:tc>
          <w:tcPr>
            <w:tcW w:w="10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9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line="149"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9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05/18/2026</w:t>
            </w:r>
          </w:p>
        </w:tc>
        <w:tc>
          <w:tcPr>
            <w:tcW w:w="29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 EVGO INC.</w:t>
            </w: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29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1661 EAST FRANKLIN AVENUE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9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972"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EL SEGUNDO</w:t>
            </w:r>
          </w:p>
        </w:tc>
        <w:tc>
          <w:tcPr>
            <w:tcW w:w="9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90245</w:t>
            </w:r>
          </w:p>
        </w:tc>
      </w:tr>
      <w:tr>
        <w:trPr>
          <w:trHeight w:val="146"/>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2" w:lineRule="exact"/>
        <w:rPr>
          <w:sz w:val="20"/>
          <w:szCs w:val="20"/>
          <w:color w:val="auto"/>
        </w:rPr>
      </w:pPr>
    </w:p>
    <w:p>
      <w:pPr>
        <w:sectPr>
          <w:pgSz w:w="11900" w:h="16838" w:orient="portrait"/>
          <w:cols w:equalWidth="0" w:num="2">
            <w:col w:w="7560" w:space="720"/>
            <w:col w:w="2800"/>
          </w:cols>
          <w:pgMar w:left="460" w:top="216" w:right="359" w:bottom="972"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4"/>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39"/>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jc w:val="center"/>
              <w:ind w:left="694"/>
              <w:spacing w:after="0"/>
              <w:rPr>
                <w:sz w:val="20"/>
                <w:szCs w:val="20"/>
                <w:color w:val="auto"/>
              </w:rPr>
            </w:pPr>
            <w:r>
              <w:rPr>
                <w:rFonts w:ascii="Times New Roman" w:cs="Times New Roman" w:eastAsia="Times New Roman" w:hAnsi="Times New Roman"/>
                <w:sz w:val="16"/>
                <w:szCs w:val="16"/>
                <w:color w:val="0000FF"/>
              </w:rPr>
              <w:t>05/18/2026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0000FF"/>
              </w:rPr>
              <w:t>5,556</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2"/>
                <w:szCs w:val="22"/>
                <w:color w:val="auto"/>
              </w:rPr>
            </w:pPr>
          </w:p>
        </w:tc>
        <w:tc>
          <w:tcPr>
            <w:tcW w:w="1260" w:type="dxa"/>
            <w:vAlign w:val="bottom"/>
            <w:gridSpan w:val="3"/>
          </w:tcPr>
          <w:p>
            <w:pPr>
              <w:jc w:val="right"/>
              <w:ind w:right="361"/>
              <w:spacing w:after="0"/>
              <w:rPr>
                <w:sz w:val="20"/>
                <w:szCs w:val="20"/>
                <w:color w:val="auto"/>
              </w:rPr>
            </w:pPr>
            <w:r>
              <w:rPr>
                <w:rFonts w:ascii="Times New Roman" w:cs="Times New Roman" w:eastAsia="Times New Roman" w:hAnsi="Times New Roman"/>
                <w:sz w:val="16"/>
                <w:szCs w:val="16"/>
                <w:color w:val="0000FF"/>
              </w:rPr>
              <w:t>64,444</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jc w:val="center"/>
              <w:ind w:left="694"/>
              <w:spacing w:after="0"/>
              <w:rPr>
                <w:sz w:val="20"/>
                <w:szCs w:val="20"/>
                <w:color w:val="auto"/>
              </w:rPr>
            </w:pPr>
            <w:r>
              <w:rPr>
                <w:rFonts w:ascii="Times New Roman" w:cs="Times New Roman" w:eastAsia="Times New Roman" w:hAnsi="Times New Roman"/>
                <w:sz w:val="16"/>
                <w:szCs w:val="16"/>
                <w:color w:val="0000FF"/>
              </w:rPr>
              <w:t>05/18/2026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43,830</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2"/>
                <w:szCs w:val="22"/>
                <w:color w:val="auto"/>
              </w:rPr>
            </w:pPr>
          </w:p>
        </w:tc>
        <w:tc>
          <w:tcPr>
            <w:tcW w:w="1260" w:type="dxa"/>
            <w:vAlign w:val="bottom"/>
            <w:gridSpan w:val="3"/>
          </w:tcPr>
          <w:p>
            <w:pPr>
              <w:jc w:val="right"/>
              <w:ind w:right="321"/>
              <w:spacing w:after="0"/>
              <w:rPr>
                <w:sz w:val="20"/>
                <w:szCs w:val="20"/>
                <w:color w:val="auto"/>
              </w:rPr>
            </w:pPr>
            <w:r>
              <w:rPr>
                <w:rFonts w:ascii="Times New Roman" w:cs="Times New Roman" w:eastAsia="Times New Roman" w:hAnsi="Times New Roman"/>
                <w:sz w:val="16"/>
                <w:szCs w:val="16"/>
                <w:color w:val="0000FF"/>
              </w:rPr>
              <w:t>108,274</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43,830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05/18/2026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00" w:type="dxa"/>
            <w:vAlign w:val="bottom"/>
          </w:tcPr>
          <w:p>
            <w:pPr>
              <w:jc w:val="right"/>
              <w:ind w:right="19"/>
              <w:spacing w:after="0" w:line="140" w:lineRule="exact"/>
              <w:rPr>
                <w:sz w:val="20"/>
                <w:szCs w:val="20"/>
                <w:color w:val="auto"/>
              </w:rPr>
            </w:pPr>
            <w:r>
              <w:rPr>
                <w:rFonts w:ascii="Times New Roman" w:cs="Times New Roman" w:eastAsia="Times New Roman" w:hAnsi="Times New Roman"/>
                <w:sz w:val="13"/>
                <w:szCs w:val="13"/>
                <w:color w:val="0000FF"/>
              </w:rPr>
              <w:t>43,830</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221"/>
              <w:spacing w:after="0" w:line="140"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5,556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05/18/2026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00" w:type="dxa"/>
            <w:vAlign w:val="bottom"/>
          </w:tcPr>
          <w:p>
            <w:pPr>
              <w:jc w:val="right"/>
              <w:ind w:right="59"/>
              <w:spacing w:after="0" w:line="140" w:lineRule="exact"/>
              <w:rPr>
                <w:sz w:val="20"/>
                <w:szCs w:val="20"/>
                <w:color w:val="auto"/>
              </w:rPr>
            </w:pPr>
            <w:r>
              <w:rPr>
                <w:rFonts w:ascii="Times New Roman" w:cs="Times New Roman" w:eastAsia="Times New Roman" w:hAnsi="Times New Roman"/>
                <w:sz w:val="13"/>
                <w:szCs w:val="13"/>
                <w:color w:val="0000FF"/>
              </w:rPr>
              <w:t>5,556</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201"/>
              <w:spacing w:after="0" w:line="140" w:lineRule="exact"/>
              <w:rPr>
                <w:sz w:val="20"/>
                <w:szCs w:val="20"/>
                <w:color w:val="auto"/>
              </w:rPr>
            </w:pPr>
            <w:r>
              <w:rPr>
                <w:rFonts w:ascii="Times New Roman" w:cs="Times New Roman" w:eastAsia="Times New Roman" w:hAnsi="Times New Roman"/>
                <w:sz w:val="13"/>
                <w:szCs w:val="13"/>
                <w:color w:val="0000FF"/>
                <w:w w:val="95"/>
              </w:rPr>
              <w:t>5,556</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63,745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05/20/2026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63,745</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rPr>
              <w:t>63,745</w:t>
            </w: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-2510155</wp:posOffset>
            </wp:positionV>
            <wp:extent cx="28575" cy="2515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51523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36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awarded under the Issuer's 2021 Long Term Incentive Plan (the "Plan"). Each RSU represents the contingent right to receive, upon vesting of the RSU, one share of the Issuer's Class A common stock, $0.0001 par value ("Class A Common Stock").</w:t>
      </w:r>
    </w:p>
    <w:p>
      <w:pPr>
        <w:spacing w:after="0" w:line="19" w:lineRule="exact"/>
        <w:rPr>
          <w:rFonts w:ascii="Times New Roman" w:cs="Times New Roman" w:eastAsia="Times New Roman" w:hAnsi="Times New Roman"/>
          <w:sz w:val="13"/>
          <w:szCs w:val="13"/>
          <w:color w:val="008000"/>
        </w:rPr>
      </w:pPr>
    </w:p>
    <w:p>
      <w:pPr>
        <w:ind w:left="40" w:right="16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awarded to the Reporting Person on May 20, 2025. The RSUs vested in full on the first anniversary of May 18, 2025, and were subject to the Reporting Person's continued service as a director through such vesting date.</w:t>
      </w:r>
    </w:p>
    <w:p>
      <w:pPr>
        <w:spacing w:after="0" w:line="19" w:lineRule="exact"/>
        <w:rPr>
          <w:rFonts w:ascii="Times New Roman" w:cs="Times New Roman" w:eastAsia="Times New Roman" w:hAnsi="Times New Roman"/>
          <w:sz w:val="13"/>
          <w:szCs w:val="13"/>
          <w:color w:val="008000"/>
        </w:rPr>
      </w:pPr>
    </w:p>
    <w:p>
      <w:pPr>
        <w:ind w:left="40" w:right="36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awarded to the Reporting Person on May 20, 2024. The RSUs vest in three equal annual installments on each of the first three anniversaries of May 18, 2024, subject to the Reporting Person's continued service as a director through such vesting dates.</w:t>
      </w:r>
    </w:p>
    <w:p>
      <w:pPr>
        <w:spacing w:after="0" w:line="19" w:lineRule="exact"/>
        <w:rPr>
          <w:rFonts w:ascii="Times New Roman" w:cs="Times New Roman" w:eastAsia="Times New Roman" w:hAnsi="Times New Roman"/>
          <w:sz w:val="13"/>
          <w:szCs w:val="13"/>
          <w:color w:val="008000"/>
        </w:rPr>
      </w:pPr>
    </w:p>
    <w:p>
      <w:pPr>
        <w:ind w:left="40" w:right="16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awarded to the Reporting Person on May 20, 2026. The RSUs will vest in full on the first anniversary of May 18, 2026, subject to the Reporting Person's continued service as a director through such vesting date.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Scott W. Griffith,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-3175</wp:posOffset>
            </wp:positionV>
            <wp:extent cx="983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spacing w:after="0" w:line="1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Francine Sullivan, as Attorney-  05/20/2026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871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13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2965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6545" cy="8255"/>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95594" TargetMode="External"/><Relationship Id="rId14" Type="http://schemas.openxmlformats.org/officeDocument/2006/relationships/hyperlink" Target="http://www.sec.gov/cgi-bin/browse-edgar?action=getcompany&amp;CIK=00018211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2026-05-20T17:02:48Z</dcterms:created>
  <dcterms:modified xsi:type="dcterms:W3CDTF">2026-05-20T17:02:48Z</dcterms:modified>
</cp:coreProperties>
</file>