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40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480"/>
        <w:jc w:val="center"/>
        <w:rPr>
          <w:rFonts w:ascii="Times New Roman;serif" w:hAnsi="Times New Roman;serif"/>
          <w:b/>
          <w:color w:val="000000"/>
          <w:sz w:val="40"/>
        </w:rPr>
      </w:pPr>
      <w:r>
        <w:rPr>
          <w:rFonts w:ascii="Times New Roman;serif" w:hAnsi="Times New Roman;serif"/>
          <w:b/>
          <w:color w:val="000000"/>
          <w:sz w:val="40"/>
        </w:rPr>
        <w:t>FORM 8-K</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Pursuant to Section 13 or 15(d) of </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the Securities Exchange Act of 1934</w:t>
      </w:r>
    </w:p>
    <w:p>
      <w:pPr>
        <w:pStyle w:val="TextBody"/>
        <w:bidi w:val="0"/>
        <w:spacing w:lineRule="auto" w:line="288" w:before="0" w:after="200"/>
        <w:ind w:left="0" w:right="0" w:hanging="36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August 5, 2026</w:t>
      </w:r>
    </w:p>
    <w:p>
      <w:pPr>
        <w:pStyle w:val="TextBody"/>
        <w:bidi w:val="0"/>
        <w:spacing w:lineRule="auto" w:line="288" w:before="0" w:after="20"/>
        <w:jc w:val="center"/>
        <w:rPr>
          <w:rFonts w:ascii="Times New Roman;serif" w:hAnsi="Times New Roman;serif"/>
          <w:b/>
          <w:color w:val="000000"/>
          <w:sz w:val="25"/>
        </w:rPr>
      </w:pPr>
      <w:r>
        <w:rPr>
          <w:rFonts w:ascii="Times New Roman;serif" w:hAnsi="Times New Roman;serif"/>
          <w:b/>
          <w:color w:val="000000"/>
          <w:sz w:val="25"/>
        </w:rPr>
        <w:t>EVgo Inc.</w:t>
      </w:r>
    </w:p>
    <w:p>
      <w:pPr>
        <w:pStyle w:val="TextBody"/>
        <w:bidi w:val="0"/>
        <w:spacing w:lineRule="auto" w:line="288" w:before="0" w:after="22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6216" w:type="dxa"/>
        <w:jc w:val="left"/>
        <w:tblInd w:w="0" w:type="dxa"/>
        <w:tblLayout w:type="fixed"/>
        <w:tblCellMar>
          <w:top w:w="28" w:type="dxa"/>
          <w:left w:w="28" w:type="dxa"/>
          <w:bottom w:w="28" w:type="dxa"/>
          <w:right w:w="28" w:type="dxa"/>
        </w:tblCellMar>
      </w:tblPr>
      <w:tblGrid>
        <w:gridCol w:w="769"/>
        <w:gridCol w:w="675"/>
        <w:gridCol w:w="685"/>
        <w:gridCol w:w="109"/>
        <w:gridCol w:w="109"/>
        <w:gridCol w:w="109"/>
        <w:gridCol w:w="662"/>
        <w:gridCol w:w="662"/>
        <w:gridCol w:w="670"/>
        <w:gridCol w:w="109"/>
        <w:gridCol w:w="109"/>
        <w:gridCol w:w="109"/>
        <w:gridCol w:w="420"/>
        <w:gridCol w:w="420"/>
        <w:gridCol w:w="599"/>
      </w:tblGrid>
      <w:tr>
        <w:trPr/>
        <w:tc>
          <w:tcPr>
            <w:tcW w:w="76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001-39572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85-2326098</w:t>
            </w:r>
          </w:p>
        </w:tc>
      </w:tr>
      <w:tr>
        <w:trPr/>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No.)</w:t>
            </w:r>
          </w:p>
        </w:tc>
      </w:tr>
    </w:tbl>
    <w:tbl>
      <w:tblPr>
        <w:tblW w:w="4107" w:type="dxa"/>
        <w:jc w:val="left"/>
        <w:tblInd w:w="0" w:type="dxa"/>
        <w:tblLayout w:type="fixed"/>
        <w:tblCellMar>
          <w:top w:w="28" w:type="dxa"/>
          <w:left w:w="28" w:type="dxa"/>
          <w:bottom w:w="28" w:type="dxa"/>
          <w:right w:w="28" w:type="dxa"/>
        </w:tblCellMar>
      </w:tblPr>
      <w:tblGrid>
        <w:gridCol w:w="1037"/>
        <w:gridCol w:w="910"/>
        <w:gridCol w:w="918"/>
        <w:gridCol w:w="109"/>
        <w:gridCol w:w="109"/>
        <w:gridCol w:w="109"/>
        <w:gridCol w:w="268"/>
        <w:gridCol w:w="268"/>
        <w:gridCol w:w="379"/>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1661 East Franklin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El Segundo,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90245</w:t>
            </w:r>
          </w:p>
        </w:tc>
      </w:tr>
      <w:tr>
        <w:trPr/>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240" w:after="20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(877) 494-3833</w:t>
      </w:r>
    </w:p>
    <w:tbl>
      <w:tblPr>
        <w:tblW w:w="4485" w:type="dxa"/>
        <w:jc w:val="left"/>
        <w:tblInd w:w="0" w:type="dxa"/>
        <w:tblLayout w:type="fixed"/>
        <w:tblCellMar>
          <w:top w:w="28" w:type="dxa"/>
          <w:left w:w="28" w:type="dxa"/>
          <w:bottom w:w="28" w:type="dxa"/>
          <w:right w:w="28" w:type="dxa"/>
        </w:tblCellMar>
      </w:tblPr>
      <w:tblGrid>
        <w:gridCol w:w="1433"/>
        <w:gridCol w:w="1260"/>
        <w:gridCol w:w="1792"/>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64"/>
        <w:gridCol w:w="2235"/>
        <w:gridCol w:w="2265"/>
        <w:gridCol w:w="300"/>
        <w:gridCol w:w="300"/>
        <w:gridCol w:w="305"/>
        <w:gridCol w:w="621"/>
        <w:gridCol w:w="621"/>
        <w:gridCol w:w="894"/>
      </w:tblGrid>
      <w:tr>
        <w:trPr/>
        <w:tc>
          <w:tcPr>
            <w:tcW w:w="2664"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ind w:left="0" w:right="0" w:hanging="216"/>
              <w:jc w:val="left"/>
              <w:rPr>
                <w:sz w:val="4"/>
                <w:szCs w:val="4"/>
              </w:rPr>
            </w:pPr>
            <w:r>
              <w:rPr>
                <w:sz w:val="4"/>
                <w:szCs w:val="4"/>
              </w:rPr>
            </w:r>
          </w:p>
        </w:tc>
      </w:tr>
      <w:tr>
        <w:trPr/>
        <w:tc>
          <w:tcPr>
            <w:tcW w:w="7164" w:type="dxa"/>
            <w:gridSpan w:val="3"/>
            <w:tcBorders>
              <w:top w:val="single" w:sz="8" w:space="0" w:color="000000"/>
              <w:left w:val="single" w:sz="8" w:space="0" w:color="000000"/>
            </w:tcBorders>
            <w:tcMar>
              <w:top w:w="52" w:type="dxa"/>
              <w:left w:w="128"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90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213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ind w:left="0" w:right="0" w:hanging="216"/>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7164" w:type="dxa"/>
            <w:gridSpan w:val="3"/>
            <w:tcBorders>
              <w:top w:val="single" w:sz="8" w:space="0" w:color="000000"/>
              <w:left w:val="single" w:sz="8" w:space="0" w:color="000000"/>
            </w:tcBorders>
            <w:tcMar>
              <w:top w:w="52" w:type="dxa"/>
              <w:left w:w="308"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$0.0001 par value per share</w:t>
            </w:r>
          </w:p>
        </w:tc>
        <w:tc>
          <w:tcPr>
            <w:tcW w:w="905" w:type="dxa"/>
            <w:gridSpan w:val="3"/>
            <w:tcBorders>
              <w:top w:val="single" w:sz="8" w:space="0" w:color="000000"/>
              <w:left w:val="single" w:sz="8" w:space="0" w:color="000000"/>
            </w:tcBorders>
            <w:tcMar>
              <w:top w:w="52" w:type="dxa"/>
              <w:left w:w="51"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EVGO</w:t>
            </w:r>
          </w:p>
        </w:tc>
        <w:tc>
          <w:tcPr>
            <w:tcW w:w="2136" w:type="dxa"/>
            <w:gridSpan w:val="3"/>
            <w:tcBorders>
              <w:top w:val="single" w:sz="8" w:space="0" w:color="000000"/>
              <w:left w:val="single" w:sz="8" w:space="0" w:color="000000"/>
              <w:right w:val="single" w:sz="8" w:space="0" w:color="000000"/>
            </w:tcBorders>
            <w:tcMar>
              <w:top w:w="52" w:type="dxa"/>
              <w:left w:w="51" w:type="dxa"/>
              <w:bottom w:w="0" w:type="dxa"/>
              <w:right w:w="51" w:type="dxa"/>
            </w:tcMar>
            <w:vAlign w:val="center"/>
          </w:tcPr>
          <w:p>
            <w:pPr>
              <w:pStyle w:val="TableContents"/>
              <w:bidi w:val="0"/>
              <w:spacing w:lineRule="auto" w:line="273" w:before="0" w:after="283"/>
              <w:ind w:left="0" w:right="0" w:hanging="216"/>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7164" w:type="dxa"/>
            <w:gridSpan w:val="3"/>
            <w:tcBorders>
              <w:top w:val="single" w:sz="8" w:space="0" w:color="000000"/>
              <w:left w:val="single" w:sz="8" w:space="0" w:color="000000"/>
              <w:bottom w:val="single" w:sz="8" w:space="0" w:color="000000"/>
            </w:tcBorders>
            <w:tcMar>
              <w:top w:w="52" w:type="dxa"/>
              <w:left w:w="308"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warrants, each whole warrant exercisable for one share of Class A common stock at an exercise price of $11.50</w:t>
            </w:r>
          </w:p>
        </w:tc>
        <w:tc>
          <w:tcPr>
            <w:tcW w:w="90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18"/>
              </w:rPr>
              <w:t>EVGOW</w:t>
            </w:r>
            <w:r>
              <w:rPr>
                <w:rFonts w:ascii="Times New Roman;serif" w:hAnsi="Times New Roman;serif"/>
                <w:b w:val="false"/>
                <w:color w:val="000000"/>
                <w:sz w:val="12"/>
              </w:rPr>
              <w:t>(1)</w:t>
            </w:r>
          </w:p>
        </w:tc>
        <w:tc>
          <w:tcPr>
            <w:tcW w:w="2136" w:type="dxa"/>
            <w:gridSpan w:val="3"/>
            <w:tcBorders>
              <w:top w:val="single" w:sz="8" w:space="0" w:color="000000"/>
              <w:left w:val="single" w:sz="8" w:space="0" w:color="000000"/>
              <w:bottom w:val="single" w:sz="8" w:space="0" w:color="000000"/>
              <w:right w:val="single" w:sz="8" w:space="0" w:color="000000"/>
            </w:tcBorders>
            <w:tcMar>
              <w:top w:w="52" w:type="dxa"/>
              <w:left w:w="51" w:type="dxa"/>
              <w:bottom w:w="30" w:type="dxa"/>
              <w:right w:w="51"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bl>
    <w:p>
      <w:pPr>
        <w:pStyle w:val="TextBody"/>
        <w:bidi w:val="0"/>
        <w:spacing w:lineRule="auto" w:line="276" w:before="0" w:after="0"/>
        <w:jc w:val="both"/>
        <w:rPr/>
      </w:pPr>
      <w:r>
        <w:rPr>
          <w:rFonts w:ascii="Times New Roman;serif" w:hAnsi="Times New Roman;serif"/>
          <w:b w:val="false"/>
          <w:color w:val="000000"/>
          <w:sz w:val="8"/>
        </w:rPr>
        <w:t>(1)</w:t>
      </w:r>
      <w:r>
        <w:rPr>
          <w:rFonts w:ascii="Times New Roman;serif" w:hAnsi="Times New Roman;serif"/>
          <w:b w:val="false"/>
          <w:color w:val="000000"/>
          <w:sz w:val="12"/>
        </w:rPr>
        <w:t>On July 1, 2026, Nasdaq Stock Market LLC filed a Form 25 with the Securities and Exchange Commission (the “SEC”) to delist EVgo Inc.’s redeemable warrants from trading and to remove such securities from registration under Section 12(b) of the Securities Exchange Act of 1934, as amended (the “Exchange Act”). The delisting became effective 10 days after the filing of the Form 25. In accordance with Rule 12d2-2 of the Exchange Act, the de-registration of EVgo Inc.’s redeemable warrants under Section 12(b) of the Exchange Act will become effective 90 days, or such shorter period as the SEC may determine, after the date of the Form 25 filing.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88" w:before="120" w:after="1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5, 2026, EVgo Inc. (the “Company”) issued a press release, announcing its financial results for the second quarter ended June 30, 2026. A copy of the press release is furnished as Exhibit 99.1 to this Current Report on Form 8-K and incorporated herein by reference.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Item 2.02 of this Current Report on Form 8-K (including exhibit 99.1) shall not be deemed “filed” for purposes of Section 18 of the Securities Exchange Act of 1934, as amended (the “Exchange Act”), or otherwise subject to the liabilities of such section, nor shall such information be deemed incorporated by reference in any filing under the Exchange Act or the Securities Act of 1933, as amended,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302"/>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737"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943"/>
        <w:gridCol w:w="1943"/>
        <w:gridCol w:w="275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991evgoearningsrel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evgoearningsrele.htm">
              <w:r>
                <w:rPr>
                  <w:rStyle w:val="InternetLink"/>
                  <w:rFonts w:ascii="Times New Roman;serif" w:hAnsi="Times New Roman;serif"/>
                  <w:b w:val="false"/>
                  <w:color w:val="000080"/>
                  <w:sz w:val="20"/>
                  <w:u w:val="single"/>
                </w:rPr>
                <w:t>Press Release, dated August 5, 2026</w:t>
              </w:r>
            </w:hyperlink>
            <w:r>
              <w:rPr>
                <w:rFonts w:ascii="Times New Roman;serif" w:hAnsi="Times New Roman;serif"/>
                <w:b w:val="false"/>
                <w:color w:val="0000FF"/>
                <w:sz w:val="20"/>
                <w:u w:val="single"/>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484" w:type="dxa"/>
        <w:jc w:val="left"/>
        <w:tblInd w:w="0" w:type="dxa"/>
        <w:tblLayout w:type="fixed"/>
        <w:tblCellMar>
          <w:top w:w="28" w:type="dxa"/>
          <w:left w:w="28" w:type="dxa"/>
          <w:bottom w:w="28" w:type="dxa"/>
          <w:right w:w="28" w:type="dxa"/>
        </w:tblCellMar>
      </w:tblPr>
      <w:tblGrid>
        <w:gridCol w:w="667"/>
        <w:gridCol w:w="587"/>
        <w:gridCol w:w="590"/>
        <w:gridCol w:w="233"/>
        <w:gridCol w:w="197"/>
        <w:gridCol w:w="200"/>
        <w:gridCol w:w="588"/>
        <w:gridCol w:w="588"/>
        <w:gridCol w:w="8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EVgo Inc.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/s/</w:t>
            </w:r>
            <w:r>
              <w:rPr>
                <w:color w:val="000000"/>
              </w:rPr>
              <w:t xml:space="preserve"> </w:t>
            </w:r>
            <w:r>
              <w:rPr>
                <w:rFonts w:ascii="Times New Roman;serif" w:hAnsi="Times New Roman;serif"/>
                <w:b w:val="false"/>
                <w:color w:val="000000"/>
                <w:sz w:val="20"/>
              </w:rPr>
              <w:t>Keefer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Keefer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Effra;sans-serif" w:hAnsi="Effra;sans-serif"/>
          <w:b/>
          <w:color w:val="000000"/>
          <w:sz w:val="20"/>
        </w:rPr>
      </w:pPr>
      <w:r>
        <w:rPr>
          <w:rFonts w:ascii="Effra;sans-serif" w:hAnsi="Effra;sans-serif"/>
          <w:b/>
          <w:color w:val="000000"/>
          <w:sz w:val="20"/>
        </w:rPr>
        <w:t>Exhibit 99.1</w:t>
      </w:r>
    </w:p>
    <w:p>
      <w:pPr>
        <w:pStyle w:val="TextBody"/>
        <w:bidi w:val="0"/>
        <w:spacing w:before="0" w:after="240"/>
        <w:jc w:val="left"/>
        <w:rPr/>
      </w:pPr>
      <w:r>
        <w:rPr/>
        <w:drawing>
          <wp:inline distT="0" distB="0" distL="0" distR="0">
            <wp:extent cx="1190625"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90625" cy="542925"/>
                    </a:xfrm>
                    <a:prstGeom prst="rect">
                      <a:avLst/>
                    </a:prstGeom>
                  </pic:spPr>
                </pic:pic>
              </a:graphicData>
            </a:graphic>
          </wp:inline>
        </w:drawing>
      </w:r>
    </w:p>
    <w:p>
      <w:pPr>
        <w:pStyle w:val="TextBody"/>
        <w:bidi w:val="0"/>
        <w:spacing w:lineRule="auto" w:line="288" w:before="0" w:after="0"/>
        <w:jc w:val="center"/>
        <w:rPr>
          <w:rFonts w:ascii="Effra;sans-serif" w:hAnsi="Effra;sans-serif"/>
          <w:b/>
          <w:color w:val="000000"/>
          <w:sz w:val="20"/>
        </w:rPr>
      </w:pPr>
      <w:r>
        <w:rPr>
          <w:rFonts w:ascii="Effra;sans-serif" w:hAnsi="Effra;sans-serif"/>
          <w:b/>
          <w:color w:val="000000"/>
          <w:sz w:val="20"/>
        </w:rPr>
        <w:t>EVgo Inc. Reports Second Quarter 2026 Results</w:t>
      </w:r>
    </w:p>
    <w:p>
      <w:pPr>
        <w:pStyle w:val="TextBody"/>
        <w:bidi w:val="0"/>
        <w:spacing w:lineRule="auto" w:line="268" w:before="0" w:after="0"/>
        <w:jc w:val="center"/>
        <w:rPr>
          <w:rFonts w:ascii="Effra;sans-serif" w:hAnsi="Effra;sans-serif"/>
          <w:b w:val="false"/>
          <w:i/>
          <w:color w:val="000000"/>
          <w:sz w:val="20"/>
        </w:rPr>
      </w:pPr>
      <w:r>
        <w:rPr>
          <w:rFonts w:ascii="Effra;sans-serif" w:hAnsi="Effra;sans-serif"/>
          <w:b w:val="false"/>
          <w:i/>
          <w:color w:val="000000"/>
          <w:sz w:val="20"/>
        </w:rPr>
        <w:t>Total Q2 Charging Network Revenues Increased 19% Year-Over-Year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both"/>
        <w:rPr/>
      </w:pPr>
      <w:r>
        <w:rPr>
          <w:color w:val="000000"/>
          <w:shd w:fill="FFFFFF" w:val="clear"/>
        </w:rPr>
        <w:t>•</w:t>
      </w:r>
      <w:r>
        <w:rPr>
          <w:rFonts w:ascii="Effra;sans-serif" w:hAnsi="Effra;sans-serif"/>
          <w:b w:val="false"/>
          <w:color w:val="000000"/>
          <w:sz w:val="20"/>
          <w:shd w:fill="FFFFFF" w:val="clear"/>
        </w:rPr>
        <w:t>Charging ne</w:t>
      </w:r>
      <w:r>
        <w:rPr>
          <w:rFonts w:ascii="Effra;sans-serif" w:hAnsi="Effra;sans-serif"/>
          <w:b w:val="false"/>
          <w:color w:val="000000"/>
          <w:sz w:val="20"/>
        </w:rPr>
        <w:t>twork revenue totaled $61 million in the second quarter, an increase of 19% year-over-year, representing the 18</w:t>
      </w:r>
      <w:r>
        <w:rPr>
          <w:rFonts w:ascii="Effra;sans-serif" w:hAnsi="Effra;sans-serif"/>
          <w:b w:val="false"/>
          <w:color w:val="000000"/>
          <w:sz w:val="13"/>
        </w:rPr>
        <w:t>th</w:t>
      </w:r>
      <w:r>
        <w:rPr>
          <w:color w:val="000000"/>
        </w:rPr>
        <w:t xml:space="preserve"> </w:t>
      </w:r>
      <w:r>
        <w:rPr>
          <w:rFonts w:ascii="Effra;sans-serif" w:hAnsi="Effra;sans-serif"/>
          <w:b w:val="false"/>
          <w:color w:val="000000"/>
          <w:sz w:val="20"/>
        </w:rPr>
        <w:t xml:space="preserve">consecutive quarter of double-digit year-over-year charging revenue growth. </w:t>
      </w:r>
    </w:p>
    <w:p>
      <w:pPr>
        <w:pStyle w:val="TextBody"/>
        <w:bidi w:val="0"/>
        <w:spacing w:lineRule="auto" w:line="276" w:before="0" w:after="0"/>
        <w:ind w:left="0" w:right="0" w:hanging="360"/>
        <w:jc w:val="both"/>
        <w:rPr/>
      </w:pPr>
      <w:r>
        <w:rPr>
          <w:color w:val="000000"/>
        </w:rPr>
        <w:t>•</w:t>
      </w:r>
      <w:r>
        <w:rPr>
          <w:rFonts w:ascii="Effra;sans-serif" w:hAnsi="Effra;sans-serif"/>
          <w:b w:val="false"/>
          <w:color w:val="000000"/>
          <w:sz w:val="20"/>
        </w:rPr>
        <w:t>Network throughput reached 99 gigawatt-hours (“GWh”) in the second quarter, an increase of 13% year-over-year.</w:t>
      </w:r>
    </w:p>
    <w:p>
      <w:pPr>
        <w:pStyle w:val="TextBody"/>
        <w:bidi w:val="0"/>
        <w:spacing w:lineRule="auto" w:line="276" w:before="0" w:after="0"/>
        <w:ind w:left="0" w:right="0" w:hanging="360"/>
        <w:jc w:val="both"/>
        <w:rPr/>
      </w:pPr>
      <w:r>
        <w:rPr>
          <w:color w:val="000000"/>
        </w:rPr>
        <w:t>•</w:t>
      </w:r>
      <w:r>
        <w:rPr>
          <w:rFonts w:ascii="Effra;sans-serif" w:hAnsi="Effra;sans-serif"/>
          <w:b w:val="false"/>
          <w:color w:val="000000"/>
          <w:sz w:val="20"/>
        </w:rPr>
        <w:t>Ended the second quarter with 5,380 stalls in operation, an increase of 24% year-over-year.</w:t>
      </w:r>
    </w:p>
    <w:p>
      <w:pPr>
        <w:pStyle w:val="TextBody"/>
        <w:bidi w:val="0"/>
        <w:spacing w:lineRule="auto" w:line="276" w:before="0" w:after="0"/>
        <w:ind w:left="0" w:right="0" w:hanging="360"/>
        <w:jc w:val="both"/>
        <w:rPr/>
      </w:pPr>
      <w:r>
        <w:rPr>
          <w:color w:val="000000"/>
        </w:rPr>
        <w:t>•</w:t>
      </w:r>
      <w:r>
        <w:rPr>
          <w:rFonts w:ascii="Effra;sans-serif" w:hAnsi="Effra;sans-serif"/>
          <w:b w:val="false"/>
          <w:color w:val="000000"/>
          <w:sz w:val="20"/>
        </w:rPr>
        <w:t>Signed agreement with Tesla to deploy EVgo Superchargers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 xml:space="preserve">LOS ANGELES – August 5, 2026 — EVgo Inc. (Nasdaq: EVGO) (“EVgo” or the “Company”), one of the nation’s largest providers of public fast charging infrastructure for electric vehicles (EVs), announced results for the second quarter ended June 30, 2026. Management will host a webcast today at 8 a.m. ET / 5 a.m. PT to discuss EVgo’s results and other business highlights. </w:t>
      </w:r>
    </w:p>
    <w:p>
      <w:pPr>
        <w:pStyle w:val="TextBody"/>
        <w:bidi w:val="0"/>
        <w:spacing w:lineRule="auto" w:line="268" w:before="0" w:after="0"/>
        <w:jc w:val="both"/>
        <w:rPr/>
      </w:pPr>
      <w:r>
        <w:rPr>
          <w:rFonts w:ascii="Effra;sans-serif" w:hAnsi="Effra;sans-serif"/>
          <w:b w:val="false"/>
          <w:color w:val="000000"/>
          <w:sz w:val="20"/>
          <w:shd w:fill="FFFFFF" w:val="clear"/>
        </w:rPr>
        <w:t xml:space="preserve">"EVgo delivered another quarter of solid execution, with 19% charging network revenue growth and continued expansion of our nationwide fast-charging platform," said Badar Khan, CEO of EVgo. "Our recently </w:t>
      </w:r>
      <w:r>
        <w:rPr>
          <w:rFonts w:ascii="Effra;sans-serif" w:hAnsi="Effra;sans-serif"/>
          <w:b w:val="false"/>
          <w:color w:val="000000"/>
          <w:sz w:val="20"/>
        </w:rPr>
        <w:t xml:space="preserve">announced </w:t>
      </w:r>
    </w:p>
    <w:p>
      <w:pPr>
        <w:pStyle w:val="TextBody"/>
        <w:bidi w:val="0"/>
        <w:spacing w:lineRule="auto" w:line="268" w:before="0" w:after="0"/>
        <w:jc w:val="both"/>
        <w:rPr/>
      </w:pPr>
      <w:r>
        <w:rPr>
          <w:rFonts w:ascii="Effra;sans-serif" w:hAnsi="Effra;sans-serif"/>
          <w:b w:val="false"/>
          <w:color w:val="000000"/>
          <w:sz w:val="20"/>
        </w:rPr>
        <w:t xml:space="preserve">agreement </w:t>
      </w:r>
      <w:r>
        <w:rPr>
          <w:rFonts w:ascii="Effra;sans-serif" w:hAnsi="Effra;sans-serif"/>
          <w:b w:val="false"/>
          <w:color w:val="000000"/>
          <w:sz w:val="20"/>
          <w:shd w:fill="FFFFFF" w:val="clear"/>
        </w:rPr>
        <w:t>with Tesla underscores the strength of our strategy and our commitment to providing widespread charging infrastructure to the growing EV driver population. Our confidence in EVgo’s long-term opportunity has never been stronger thanks to the scale of our network, our differentiated business model and strong utilization and non-dilutive financing sources. As a result, EVgo represents a uniquely differentiated growth profile at an attractive valuation for shareholders."</w:t>
      </w:r>
    </w:p>
    <w:p>
      <w:pPr>
        <w:pStyle w:val="TextBody"/>
        <w:bidi w:val="0"/>
        <w:spacing w:before="0" w:after="240"/>
        <w:jc w:val="left"/>
        <w:rPr/>
      </w:pPr>
      <w:r>
        <w:rPr/>
      </w:r>
    </w:p>
    <w:p>
      <w:pPr>
        <w:pStyle w:val="TextBody"/>
        <w:bidi w:val="0"/>
        <w:spacing w:lineRule="auto" w:line="288" w:before="0" w:after="0"/>
        <w:jc w:val="left"/>
        <w:rPr>
          <w:rFonts w:ascii="Effra;sans-serif" w:hAnsi="Effra;sans-serif"/>
          <w:b/>
          <w:color w:val="000000"/>
          <w:sz w:val="20"/>
        </w:rPr>
      </w:pPr>
      <w:r>
        <w:rPr>
          <w:rFonts w:ascii="Effra;sans-serif" w:hAnsi="Effra;sans-serif"/>
          <w:b/>
          <w:color w:val="000000"/>
          <w:sz w:val="20"/>
        </w:rPr>
        <w:t>Business Highlights</w:t>
      </w:r>
    </w:p>
    <w:p>
      <w:pPr>
        <w:pStyle w:val="TextBody"/>
        <w:bidi w:val="0"/>
        <w:spacing w:lineRule="auto" w:line="276" w:before="0" w:after="0"/>
        <w:ind w:left="0" w:right="0" w:hanging="360"/>
        <w:jc w:val="both"/>
        <w:rPr/>
      </w:pPr>
      <w:r>
        <w:rPr>
          <w:color w:val="000000"/>
          <w:shd w:fill="FFFFFF" w:val="clear"/>
        </w:rPr>
        <w:t>•</w:t>
      </w:r>
      <w:r>
        <w:rPr>
          <w:rFonts w:ascii="Effra;sans-serif" w:hAnsi="Effra;sans-serif"/>
          <w:b/>
          <w:color w:val="000000"/>
          <w:sz w:val="20"/>
        </w:rPr>
        <w:t xml:space="preserve">EVgo Superchargers: </w:t>
      </w:r>
      <w:r>
        <w:rPr>
          <w:rFonts w:ascii="Effra;sans-serif" w:hAnsi="Effra;sans-serif"/>
          <w:b w:val="false"/>
          <w:color w:val="000000"/>
          <w:sz w:val="20"/>
        </w:rPr>
        <w:t>EVgo and Tesla signed an agreement to deploy EVgo-owned and branded V4 Superchargers starting in 2026. Each site is expected to have up to 20 stalls located near everyday destinations like retail shops and restaurants. EVgo Superchargers will appear on the in-car Tesla navigation and Tesla Trip Planner.</w:t>
      </w:r>
    </w:p>
    <w:p>
      <w:pPr>
        <w:pStyle w:val="TextBody"/>
        <w:bidi w:val="0"/>
        <w:spacing w:lineRule="auto" w:line="276" w:before="0" w:after="0"/>
        <w:ind w:left="0" w:right="0" w:hanging="360"/>
        <w:jc w:val="both"/>
        <w:rPr/>
      </w:pPr>
      <w:r>
        <w:rPr>
          <w:color w:val="000000"/>
        </w:rPr>
        <w:t>•</w:t>
      </w:r>
      <w:r>
        <w:rPr>
          <w:rFonts w:ascii="Effra;sans-serif" w:hAnsi="Effra;sans-serif"/>
          <w:b/>
          <w:color w:val="000000"/>
          <w:sz w:val="20"/>
        </w:rPr>
        <w:t>Stall Development:</w:t>
      </w:r>
      <w:r>
        <w:rPr>
          <w:color w:val="000000"/>
        </w:rPr>
        <w:t xml:space="preserve"> </w:t>
      </w:r>
      <w:r>
        <w:rPr>
          <w:rFonts w:ascii="Effra;sans-serif" w:hAnsi="Effra;sans-serif"/>
          <w:b w:val="false"/>
          <w:color w:val="000000"/>
          <w:sz w:val="20"/>
        </w:rPr>
        <w:t>Ended the second quarter with 5,380 stalls in operation. EVgo added 280 new DC fast charging stalls during the quarter offset by 175 removals of legacy equipment under the Company's Renew program.</w:t>
      </w:r>
    </w:p>
    <w:p>
      <w:pPr>
        <w:pStyle w:val="TextBody"/>
        <w:bidi w:val="0"/>
        <w:spacing w:lineRule="auto" w:line="276" w:before="0" w:after="0"/>
        <w:ind w:left="0" w:right="0" w:hanging="360"/>
        <w:jc w:val="both"/>
        <w:rPr/>
      </w:pPr>
      <w:r>
        <w:rPr>
          <w:color w:val="000000"/>
        </w:rPr>
        <w:t>•</w:t>
      </w:r>
      <w:r>
        <w:rPr>
          <w:rFonts w:ascii="Effra;sans-serif" w:hAnsi="Effra;sans-serif"/>
          <w:b/>
          <w:color w:val="000000"/>
          <w:sz w:val="20"/>
        </w:rPr>
        <w:t xml:space="preserve">Average Daily Network Throughput: </w:t>
      </w:r>
      <w:r>
        <w:rPr>
          <w:rFonts w:ascii="Effra;sans-serif" w:hAnsi="Effra;sans-serif"/>
          <w:b w:val="false"/>
          <w:color w:val="000000"/>
          <w:sz w:val="20"/>
        </w:rPr>
        <w:t xml:space="preserve">Average daily throughput per stall for the EVgo public network was 276 kilowatt hours per day in the second quarter of 2026, compared to 281 kilowatt hours per day in the second quarter of 2025. </w:t>
      </w:r>
    </w:p>
    <w:p>
      <w:pPr>
        <w:pStyle w:val="TextBody"/>
        <w:bidi w:val="0"/>
        <w:spacing w:lineRule="auto" w:line="276" w:before="0" w:after="0"/>
        <w:ind w:left="0" w:right="0" w:hanging="360"/>
        <w:jc w:val="both"/>
        <w:rPr/>
      </w:pPr>
      <w:r>
        <w:rPr>
          <w:color w:val="000000"/>
        </w:rPr>
        <w:t>•</w:t>
      </w:r>
      <w:r>
        <w:rPr>
          <w:rFonts w:ascii="Effra;sans-serif" w:hAnsi="Effra;sans-serif"/>
          <w:b/>
          <w:color w:val="000000"/>
          <w:sz w:val="20"/>
        </w:rPr>
        <w:t xml:space="preserve">Customer Accounts: </w:t>
      </w:r>
      <w:r>
        <w:rPr>
          <w:rFonts w:ascii="Effra;sans-serif" w:hAnsi="Effra;sans-serif"/>
          <w:b w:val="false"/>
          <w:color w:val="000000"/>
          <w:sz w:val="20"/>
        </w:rPr>
        <w:t>Added over 99,000 new customer accounts in the second quarter, with over 1.8 million total customer accounts at the end of the quarter.</w:t>
      </w:r>
    </w:p>
    <w:p>
      <w:pPr>
        <w:pStyle w:val="TextBody"/>
        <w:bidi w:val="0"/>
        <w:spacing w:lineRule="auto" w:line="288" w:before="0" w:after="20"/>
        <w:ind w:left="0" w:right="0" w:hanging="360"/>
        <w:jc w:val="both"/>
        <w:rPr/>
      </w:pPr>
      <w:r>
        <w:rPr>
          <w:color w:val="000000"/>
          <w:shd w:fill="FFFFFF" w:val="clear"/>
        </w:rPr>
        <w:t>•</w:t>
      </w:r>
      <w:r>
        <w:rPr>
          <w:rFonts w:ascii="Effra;sans-serif" w:hAnsi="Effra;sans-serif"/>
          <w:b/>
          <w:color w:val="000000"/>
          <w:sz w:val="20"/>
          <w:shd w:fill="FFFFFF" w:val="clear"/>
        </w:rPr>
        <w:t>J3400 (NACS) Connectors:</w:t>
      </w:r>
      <w:r>
        <w:rPr>
          <w:color w:val="000000"/>
          <w:shd w:fill="FFFFFF" w:val="clear"/>
        </w:rPr>
        <w:t xml:space="preserve"> </w:t>
      </w:r>
      <w:r>
        <w:rPr>
          <w:rFonts w:ascii="Effra;sans-serif" w:hAnsi="Effra;sans-serif"/>
          <w:b w:val="false"/>
          <w:color w:val="000000"/>
          <w:sz w:val="20"/>
          <w:shd w:fill="FFFFFF" w:val="clear"/>
        </w:rPr>
        <w:t xml:space="preserve">240 NACS connectors in operation as of July 31, 2026. </w:t>
      </w:r>
    </w:p>
    <w:p>
      <w:pPr>
        <w:pStyle w:val="TextBody"/>
        <w:bidi w:val="0"/>
        <w:spacing w:lineRule="auto" w:line="288" w:before="0" w:after="0"/>
        <w:ind w:left="0" w:right="0" w:hanging="360"/>
        <w:jc w:val="both"/>
        <w:rPr/>
      </w:pPr>
      <w:r>
        <w:rPr>
          <w:color w:val="000000"/>
        </w:rPr>
        <w:t>•</w:t>
      </w:r>
      <w:r>
        <w:rPr>
          <w:rFonts w:ascii="Effra;sans-serif" w:hAnsi="Effra;sans-serif"/>
          <w:b/>
          <w:color w:val="000000"/>
          <w:sz w:val="20"/>
        </w:rPr>
        <w:t>EVgo Next Generation Charging Architecture:</w:t>
      </w:r>
      <w:r>
        <w:rPr>
          <w:color w:val="000000"/>
        </w:rPr>
        <w:t xml:space="preserve"> </w:t>
      </w:r>
      <w:r>
        <w:rPr>
          <w:rFonts w:ascii="Effra;sans-serif" w:hAnsi="Effra;sans-serif"/>
          <w:b w:val="false"/>
          <w:color w:val="000000"/>
          <w:sz w:val="20"/>
        </w:rPr>
        <w:t>Finalized the design of the Company's next generation charging equipment and testing underway with demonstrated high current charging on multiple vehicle models.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2"/>
        <w:gridCol w:w="604"/>
        <w:gridCol w:w="607"/>
        <w:gridCol w:w="255"/>
        <w:gridCol w:w="271"/>
        <w:gridCol w:w="625"/>
        <w:gridCol w:w="109"/>
        <w:gridCol w:w="109"/>
        <w:gridCol w:w="109"/>
        <w:gridCol w:w="267"/>
        <w:gridCol w:w="281"/>
        <w:gridCol w:w="594"/>
        <w:gridCol w:w="109"/>
        <w:gridCol w:w="109"/>
        <w:gridCol w:w="109"/>
        <w:gridCol w:w="299"/>
        <w:gridCol w:w="299"/>
        <w:gridCol w:w="301"/>
        <w:gridCol w:w="109"/>
        <w:gridCol w:w="109"/>
        <w:gridCol w:w="109"/>
        <w:gridCol w:w="333"/>
        <w:gridCol w:w="257"/>
        <w:gridCol w:w="641"/>
        <w:gridCol w:w="109"/>
        <w:gridCol w:w="109"/>
        <w:gridCol w:w="109"/>
        <w:gridCol w:w="333"/>
        <w:gridCol w:w="257"/>
        <w:gridCol w:w="641"/>
        <w:gridCol w:w="109"/>
        <w:gridCol w:w="109"/>
        <w:gridCol w:w="109"/>
        <w:gridCol w:w="276"/>
        <w:gridCol w:w="276"/>
        <w:gridCol w:w="401"/>
      </w:tblGrid>
      <w:tr>
        <w:trPr/>
        <w:tc>
          <w:tcPr>
            <w:tcW w:w="75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Q2'26</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Q2'25</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Change</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Q2'26 YTD</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Q2'25 YTD</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Change</w:t>
            </w:r>
          </w:p>
        </w:tc>
      </w:tr>
      <w:tr>
        <w:trPr/>
        <w:tc>
          <w:tcPr>
            <w:tcW w:w="19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(unaudited, dollars in thousands)</w:t>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Network throughput (GWh)</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w:t>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Revenue</w:t>
            </w:r>
          </w:p>
        </w:tc>
        <w:tc>
          <w:tcPr>
            <w:tcW w:w="2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82,648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98,030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192,179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173,317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Gross profit</w:t>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23,231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w:t>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Gross margin</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8.9</w:t>
            </w:r>
          </w:p>
        </w:tc>
        <w:tc>
          <w:tcPr>
            <w:tcW w:w="6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14.2</w:t>
            </w:r>
          </w:p>
        </w:tc>
        <w:tc>
          <w:tcPr>
            <w:tcW w:w="5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(530)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10.6</w:t>
            </w:r>
          </w:p>
        </w:tc>
        <w:tc>
          <w:tcPr>
            <w:tcW w:w="6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13.4</w:t>
            </w:r>
          </w:p>
        </w:tc>
        <w:tc>
          <w:tcPr>
            <w:tcW w:w="6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(280) bps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loss</w:t>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(83,323)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49%</w:t>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Effra;sans-serif" w:hAnsi="Effra;sans-serif"/>
                <w:b w:val="false"/>
                <w:color w:val="000000"/>
                <w:sz w:val="20"/>
              </w:rPr>
              <w:t>Adjusted Gross Profit</w:t>
            </w:r>
            <w:r>
              <w:rPr>
                <w:rFonts w:ascii="Effra;sans-serif" w:hAnsi="Effra;sans-serif"/>
                <w:b w:val="false"/>
                <w:color w:val="000000"/>
                <w:sz w:val="13"/>
              </w:rPr>
              <w:t>1</w:t>
            </w:r>
          </w:p>
        </w:tc>
        <w:tc>
          <w:tcPr>
            <w:tcW w:w="2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26,283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28,359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55,916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53,729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ffra;sans-serif" w:hAnsi="Effra;sans-serif"/>
                <w:b/>
                <w:i/>
                <w:color w:val="000000"/>
                <w:sz w:val="16"/>
              </w:rPr>
              <w:t>Adjusted Gross Margin</w:t>
            </w:r>
            <w:r>
              <w:rPr>
                <w:rFonts w:ascii="Effra;sans-serif" w:hAnsi="Effra;sans-serif"/>
                <w:b/>
                <w:i/>
                <w:color w:val="000000"/>
                <w:sz w:val="10"/>
              </w:rPr>
              <w:t>1</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31.8</w:t>
            </w:r>
          </w:p>
        </w:tc>
        <w:tc>
          <w:tcPr>
            <w:tcW w:w="6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28.9</w:t>
            </w:r>
          </w:p>
        </w:tc>
        <w:tc>
          <w:tcPr>
            <w:tcW w:w="59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290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29.1</w:t>
            </w:r>
          </w:p>
        </w:tc>
        <w:tc>
          <w:tcPr>
            <w:tcW w:w="6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31.0</w:t>
            </w:r>
          </w:p>
        </w:tc>
        <w:tc>
          <w:tcPr>
            <w:tcW w:w="6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(190)bps</w:t>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ffra;sans-serif" w:hAnsi="Effra;sans-serif"/>
                <w:b w:val="false"/>
                <w:color w:val="000000"/>
                <w:sz w:val="20"/>
              </w:rPr>
              <w:t>Adjusted EBITDA</w:t>
            </w:r>
            <w:r>
              <w:rPr>
                <w:rFonts w:ascii="Effra;sans-serif" w:hAnsi="Effra;sans-serif"/>
                <w:b w:val="false"/>
                <w:color w:val="000000"/>
                <w:sz w:val="13"/>
              </w:rPr>
              <w:t>1</w:t>
            </w:r>
          </w:p>
        </w:tc>
        <w:tc>
          <w:tcPr>
            <w:tcW w:w="25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130%</w:t>
            </w:r>
          </w:p>
        </w:tc>
      </w:tr>
    </w:tbl>
    <w:p>
      <w:pPr>
        <w:pStyle w:val="TextBody"/>
        <w:bidi w:val="0"/>
        <w:spacing w:lineRule="auto" w:line="288" w:before="0" w:after="0"/>
        <w:jc w:val="left"/>
        <w:rPr>
          <w:rFonts w:ascii="Effra;sans-serif" w:hAnsi="Effra;sans-serif"/>
          <w:b w:val="false"/>
          <w:i/>
          <w:color w:val="000000"/>
          <w:sz w:val="16"/>
        </w:rPr>
      </w:pPr>
      <w:r>
        <w:rPr>
          <w:rFonts w:ascii="Effra;sans-serif" w:hAnsi="Effra;sans-serif"/>
          <w:b w:val="false"/>
          <w:i/>
          <w:color w:val="000000"/>
          <w:sz w:val="16"/>
        </w:rPr>
        <w:t>___________________________________________________________</w:t>
      </w:r>
    </w:p>
    <w:p>
      <w:pPr>
        <w:pStyle w:val="TextBody"/>
        <w:bidi w:val="0"/>
        <w:spacing w:lineRule="auto" w:line="288" w:before="0" w:after="240"/>
        <w:ind w:left="0" w:right="0" w:hanging="90"/>
        <w:jc w:val="both"/>
        <w:rPr/>
      </w:pPr>
      <w:r>
        <w:rPr>
          <w:rFonts w:ascii="Effra;sans-serif" w:hAnsi="Effra;sans-serif"/>
          <w:b w:val="false"/>
          <w:i/>
          <w:color w:val="000000"/>
          <w:sz w:val="10"/>
        </w:rPr>
        <w:t>1</w:t>
      </w:r>
      <w:r>
        <w:rPr>
          <w:rFonts w:ascii="Effra;sans-serif" w:hAnsi="Effra;sans-serif"/>
          <w:b w:val="false"/>
          <w:i/>
          <w:color w:val="000000"/>
          <w:sz w:val="16"/>
        </w:rPr>
        <w:t>Non-GAAP measure. See Appendix for reconciliation.</w:t>
      </w:r>
    </w:p>
    <w:tbl>
      <w:tblPr>
        <w:tblW w:w="10205" w:type="dxa"/>
        <w:jc w:val="left"/>
        <w:tblInd w:w="0" w:type="dxa"/>
        <w:tblLayout w:type="fixed"/>
        <w:tblCellMar>
          <w:top w:w="28" w:type="dxa"/>
          <w:left w:w="28" w:type="dxa"/>
          <w:bottom w:w="28" w:type="dxa"/>
          <w:right w:w="28" w:type="dxa"/>
        </w:tblCellMar>
      </w:tblPr>
      <w:tblGrid>
        <w:gridCol w:w="1006"/>
        <w:gridCol w:w="611"/>
        <w:gridCol w:w="615"/>
        <w:gridCol w:w="226"/>
        <w:gridCol w:w="826"/>
        <w:gridCol w:w="109"/>
        <w:gridCol w:w="109"/>
        <w:gridCol w:w="109"/>
        <w:gridCol w:w="109"/>
        <w:gridCol w:w="226"/>
        <w:gridCol w:w="826"/>
        <w:gridCol w:w="109"/>
        <w:gridCol w:w="109"/>
        <w:gridCol w:w="109"/>
        <w:gridCol w:w="109"/>
        <w:gridCol w:w="265"/>
        <w:gridCol w:w="265"/>
        <w:gridCol w:w="266"/>
        <w:gridCol w:w="109"/>
        <w:gridCol w:w="109"/>
        <w:gridCol w:w="109"/>
        <w:gridCol w:w="226"/>
        <w:gridCol w:w="856"/>
        <w:gridCol w:w="109"/>
        <w:gridCol w:w="109"/>
        <w:gridCol w:w="109"/>
        <w:gridCol w:w="109"/>
        <w:gridCol w:w="226"/>
        <w:gridCol w:w="826"/>
        <w:gridCol w:w="109"/>
        <w:gridCol w:w="109"/>
        <w:gridCol w:w="109"/>
        <w:gridCol w:w="109"/>
        <w:gridCol w:w="253"/>
        <w:gridCol w:w="253"/>
        <w:gridCol w:w="362"/>
      </w:tblGrid>
      <w:tr>
        <w:trPr/>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232"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Q2'26</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Q2'25</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Change</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Q2'26 YTD</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Q2'25 YTD</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Change</w:t>
            </w:r>
          </w:p>
        </w:tc>
      </w:tr>
      <w:tr>
        <w:trPr/>
        <w:tc>
          <w:tcPr>
            <w:tcW w:w="22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(unaudited, dollars in thousands)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Cash flows provided by (used in)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(41,852)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(1189)%</w:t>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GAAP capital expenditures</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w:t>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Capital offsets: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OEM infrastructure payments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(48)%</w:t>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Proceeds from capital-build funding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w:t>
            </w:r>
          </w:p>
        </w:tc>
      </w:tr>
      <w:tr>
        <w:trPr/>
        <w:tc>
          <w:tcPr>
            <w:tcW w:w="223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Total capital offsets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(25)%</w:t>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ffra;sans-serif" w:hAnsi="Effra;sans-serif"/>
                <w:b w:val="false"/>
                <w:color w:val="000000"/>
                <w:sz w:val="20"/>
              </w:rPr>
              <w:t>Capital Expenditures, Net of Capital Offsets</w:t>
            </w:r>
            <w:r>
              <w:rPr>
                <w:rFonts w:ascii="Effra;sans-serif" w:hAnsi="Effra;sans-serif"/>
                <w:b w:val="false"/>
                <w:color w:val="000000"/>
                <w:sz w:val="13"/>
              </w:rPr>
              <w:t>1</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27,301 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17,121 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52,465 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25,267 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108%</w:t>
            </w:r>
          </w:p>
        </w:tc>
      </w:tr>
    </w:tbl>
    <w:p>
      <w:pPr>
        <w:pStyle w:val="TextBody"/>
        <w:bidi w:val="0"/>
        <w:spacing w:lineRule="auto" w:line="288" w:before="0" w:after="0"/>
        <w:jc w:val="left"/>
        <w:rPr>
          <w:rFonts w:ascii="Effra;sans-serif" w:hAnsi="Effra;sans-serif"/>
          <w:b w:val="false"/>
          <w:i/>
          <w:color w:val="000000"/>
          <w:sz w:val="16"/>
        </w:rPr>
      </w:pPr>
      <w:r>
        <w:rPr>
          <w:rFonts w:ascii="Effra;sans-serif" w:hAnsi="Effra;sans-serif"/>
          <w:b w:val="false"/>
          <w:i/>
          <w:color w:val="000000"/>
          <w:sz w:val="16"/>
        </w:rPr>
        <w:t>___________________________________________________________</w:t>
      </w:r>
    </w:p>
    <w:p>
      <w:pPr>
        <w:pStyle w:val="TextBody"/>
        <w:bidi w:val="0"/>
        <w:spacing w:lineRule="auto" w:line="288" w:before="0" w:after="240"/>
        <w:ind w:left="0" w:right="0" w:hanging="90"/>
        <w:jc w:val="both"/>
        <w:rPr/>
      </w:pPr>
      <w:r>
        <w:rPr>
          <w:rFonts w:ascii="Effra;sans-serif" w:hAnsi="Effra;sans-serif"/>
          <w:b w:val="false"/>
          <w:i/>
          <w:color w:val="000000"/>
          <w:sz w:val="10"/>
        </w:rPr>
        <w:t>1</w:t>
      </w:r>
      <w:r>
        <w:rPr>
          <w:rFonts w:ascii="Effra;sans-serif" w:hAnsi="Effra;sans-serif"/>
          <w:b w:val="false"/>
          <w:i/>
          <w:color w:val="000000"/>
          <w:sz w:val="16"/>
        </w:rPr>
        <w:t>Non-GAAP measure. See Appendix for reconciliation.</w:t>
      </w:r>
    </w:p>
    <w:tbl>
      <w:tblPr>
        <w:tblW w:w="6352" w:type="dxa"/>
        <w:jc w:val="left"/>
        <w:tblInd w:w="0" w:type="dxa"/>
        <w:tblLayout w:type="fixed"/>
        <w:tblCellMar>
          <w:top w:w="28" w:type="dxa"/>
          <w:left w:w="28" w:type="dxa"/>
          <w:bottom w:w="28" w:type="dxa"/>
          <w:right w:w="28" w:type="dxa"/>
        </w:tblCellMar>
      </w:tblPr>
      <w:tblGrid>
        <w:gridCol w:w="989"/>
        <w:gridCol w:w="869"/>
        <w:gridCol w:w="871"/>
        <w:gridCol w:w="354"/>
        <w:gridCol w:w="354"/>
        <w:gridCol w:w="356"/>
        <w:gridCol w:w="109"/>
        <w:gridCol w:w="109"/>
        <w:gridCol w:w="109"/>
        <w:gridCol w:w="354"/>
        <w:gridCol w:w="354"/>
        <w:gridCol w:w="356"/>
        <w:gridCol w:w="109"/>
        <w:gridCol w:w="109"/>
        <w:gridCol w:w="109"/>
        <w:gridCol w:w="246"/>
        <w:gridCol w:w="246"/>
        <w:gridCol w:w="349"/>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6/30/2026</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6/30/2025</w:t>
            </w:r>
          </w:p>
        </w:tc>
        <w:tc>
          <w:tcPr>
            <w:tcW w:w="327" w:type="dxa"/>
            <w:gridSpan w:val="3"/>
            <w:tcBorders/>
            <w:shd w:fill="3950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395077" w:val="clear"/>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FFFFFF"/>
                <w:sz w:val="16"/>
              </w:rPr>
            </w:pPr>
            <w:r>
              <w:rPr>
                <w:rFonts w:ascii="Effra;sans-serif" w:hAnsi="Effra;sans-serif"/>
                <w:b/>
                <w:color w:val="FFFFFF"/>
                <w:sz w:val="16"/>
              </w:rPr>
              <w:t>Change</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color w:val="000000"/>
                <w:sz w:val="20"/>
              </w:rPr>
            </w:pPr>
            <w:r>
              <w:rPr>
                <w:rFonts w:ascii="Effra;sans-serif" w:hAnsi="Effra;sans-serif"/>
                <w:b/>
                <w:color w:val="000000"/>
                <w:sz w:val="20"/>
              </w:rPr>
              <w:t>Stalls in operation:</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ffra;sans-serif" w:hAnsi="Effra;sans-serif"/>
                <w:b w:val="false"/>
                <w:color w:val="000000"/>
                <w:sz w:val="20"/>
              </w:rPr>
              <w:t>EVgo public network</w:t>
            </w:r>
            <w:r>
              <w:rPr>
                <w:rFonts w:ascii="Effra;sans-serif" w:hAnsi="Effra;sans-serif"/>
                <w:b w:val="false"/>
                <w:color w:val="000000"/>
                <w:sz w:val="13"/>
              </w:rPr>
              <w:t>1</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ffra;sans-serif" w:hAnsi="Effra;sans-serif"/>
                <w:b w:val="false"/>
                <w:color w:val="000000"/>
                <w:sz w:val="20"/>
              </w:rPr>
              <w:t>EVgo AV network</w:t>
            </w:r>
            <w:r>
              <w:rPr>
                <w:rFonts w:ascii="Effra;sans-serif" w:hAnsi="Effra;sans-serif"/>
                <w:b w:val="false"/>
                <w:color w:val="000000"/>
                <w:sz w:val="13"/>
              </w:rPr>
              <w:t>2</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ffra;sans-serif" w:hAnsi="Effra;sans-serif"/>
                <w:b w:val="false"/>
                <w:color w:val="000000"/>
                <w:sz w:val="20"/>
              </w:rPr>
              <w:t xml:space="preserve">EVgo eXtend™ </w:t>
            </w:r>
            <w:r>
              <w:rPr>
                <w:rFonts w:ascii="Effra;sans-serif" w:hAnsi="Effra;sans-serif"/>
                <w:b w:val="false"/>
                <w:color w:val="000000"/>
                <w:sz w:val="13"/>
              </w:rPr>
              <w:t>3</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color w:val="000000"/>
                <w:sz w:val="20"/>
              </w:rPr>
            </w:pPr>
            <w:r>
              <w:rPr>
                <w:rFonts w:ascii="Effra;sans-serif" w:hAnsi="Effra;sans-serif"/>
                <w:b/>
                <w:color w:val="000000"/>
                <w:sz w:val="20"/>
              </w:rPr>
              <w:t>Total stalls in operation</w:t>
            </w:r>
          </w:p>
        </w:tc>
        <w:tc>
          <w:tcPr>
            <w:tcW w:w="106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color w:val="000000"/>
                <w:sz w:val="20"/>
              </w:rPr>
            </w:pPr>
            <w:r>
              <w:rPr>
                <w:rFonts w:ascii="Effra;sans-serif" w:hAnsi="Effra;sans-serif"/>
                <w:b/>
                <w:color w:val="000000"/>
                <w:sz w:val="20"/>
              </w:rPr>
              <w:t>5,380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color w:val="000000"/>
                <w:sz w:val="20"/>
              </w:rPr>
            </w:pPr>
            <w:r>
              <w:rPr>
                <w:rFonts w:ascii="Effra;sans-serif" w:hAnsi="Effra;sans-serif"/>
                <w:b/>
                <w:color w:val="000000"/>
                <w:sz w:val="20"/>
              </w:rPr>
              <w:t>4,350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color w:val="000000"/>
                <w:sz w:val="20"/>
              </w:rPr>
            </w:pPr>
            <w:r>
              <w:rPr>
                <w:rFonts w:ascii="Effra;sans-serif" w:hAnsi="Effra;sans-serif"/>
                <w:b/>
                <w:color w:val="000000"/>
                <w:sz w:val="20"/>
              </w:rPr>
              <w:t>24%</w:t>
            </w:r>
          </w:p>
        </w:tc>
      </w:tr>
    </w:tbl>
    <w:p>
      <w:pPr>
        <w:pStyle w:val="TextBody"/>
        <w:bidi w:val="0"/>
        <w:spacing w:lineRule="auto" w:line="288" w:before="0" w:after="0"/>
        <w:jc w:val="left"/>
        <w:rPr>
          <w:rFonts w:ascii="sans-serif" w:hAnsi="sans-serif"/>
          <w:b w:val="false"/>
          <w:i/>
          <w:color w:val="000000"/>
          <w:sz w:val="16"/>
        </w:rPr>
      </w:pPr>
      <w:r>
        <w:rPr>
          <w:rFonts w:ascii="sans-serif" w:hAnsi="sans-serif"/>
          <w:b w:val="false"/>
          <w:i/>
          <w:color w:val="000000"/>
          <w:sz w:val="16"/>
        </w:rPr>
        <w:t>___________________________________________________________</w:t>
      </w:r>
    </w:p>
    <w:p>
      <w:pPr>
        <w:pStyle w:val="TextBody"/>
        <w:bidi w:val="0"/>
        <w:spacing w:lineRule="auto" w:line="288" w:before="0" w:after="0"/>
        <w:ind w:left="0" w:right="0" w:firstLine="630"/>
        <w:jc w:val="left"/>
        <w:rPr/>
      </w:pPr>
      <w:r>
        <w:rPr>
          <w:rFonts w:ascii="Effra;sans-serif" w:hAnsi="Effra;sans-serif"/>
          <w:b w:val="false"/>
          <w:i/>
          <w:color w:val="000000"/>
          <w:sz w:val="10"/>
        </w:rPr>
        <w:t>1</w:t>
      </w:r>
      <w:r>
        <w:rPr>
          <w:color w:val="000000"/>
        </w:rPr>
        <w:t xml:space="preserve"> </w:t>
      </w:r>
      <w:r>
        <w:rPr>
          <w:rFonts w:ascii="Effra;sans-serif" w:hAnsi="Effra;sans-serif"/>
          <w:b w:val="false"/>
          <w:i/>
          <w:color w:val="000000"/>
          <w:sz w:val="16"/>
        </w:rPr>
        <w:t>Stalls at publicly available charging stations that we own and operate on our network.</w:t>
      </w:r>
    </w:p>
    <w:p>
      <w:pPr>
        <w:pStyle w:val="TextBody"/>
        <w:bidi w:val="0"/>
        <w:spacing w:lineRule="auto" w:line="288" w:before="0" w:after="0"/>
        <w:jc w:val="left"/>
        <w:rPr/>
      </w:pPr>
      <w:r>
        <w:rPr>
          <w:rFonts w:ascii="Effra;sans-serif" w:hAnsi="Effra;sans-serif"/>
          <w:b w:val="false"/>
          <w:i/>
          <w:color w:val="000000"/>
          <w:sz w:val="10"/>
        </w:rPr>
        <w:t>2</w:t>
      </w:r>
      <w:r>
        <w:rPr>
          <w:color w:val="000000"/>
        </w:rPr>
        <w:t xml:space="preserve"> </w:t>
      </w:r>
      <w:r>
        <w:rPr>
          <w:rFonts w:ascii="Effra;sans-serif" w:hAnsi="Effra;sans-serif"/>
          <w:b w:val="false"/>
          <w:i/>
          <w:color w:val="000000"/>
          <w:sz w:val="16"/>
        </w:rPr>
        <w:t xml:space="preserve">Stalls at charging stations that we own and operate on our network that are only available to AV fleet customers. </w:t>
      </w:r>
    </w:p>
    <w:p>
      <w:pPr>
        <w:pStyle w:val="TextBody"/>
        <w:bidi w:val="0"/>
        <w:spacing w:lineRule="auto" w:line="288" w:before="0" w:after="0"/>
        <w:jc w:val="left"/>
        <w:rPr/>
      </w:pPr>
      <w:r>
        <w:rPr>
          <w:rFonts w:ascii="Effra;sans-serif" w:hAnsi="Effra;sans-serif"/>
          <w:b w:val="false"/>
          <w:i/>
          <w:color w:val="000000"/>
          <w:sz w:val="10"/>
        </w:rPr>
        <w:t>3</w:t>
      </w:r>
      <w:r>
        <w:rPr>
          <w:color w:val="000000"/>
        </w:rPr>
        <w:t xml:space="preserve"> </w:t>
      </w:r>
      <w:r>
        <w:rPr>
          <w:rFonts w:ascii="Effra;sans-serif" w:hAnsi="Effra;sans-serif"/>
          <w:b w:val="false"/>
          <w:i/>
          <w:color w:val="000000"/>
          <w:sz w:val="16"/>
        </w:rPr>
        <w:t>Stalls at eXtend are EV charging stations built via partnerships for use by their customers with assets serviced through, and often cobranded with, our national network.</w:t>
      </w:r>
    </w:p>
    <w:p>
      <w:pPr>
        <w:pStyle w:val="TextBody"/>
        <w:bidi w:val="0"/>
        <w:spacing w:before="0" w:after="0"/>
        <w:jc w:val="left"/>
        <w:rPr/>
      </w:pPr>
      <w:r>
        <w:rPr/>
      </w:r>
    </w:p>
    <w:p>
      <w:pPr>
        <w:pStyle w:val="TextBody"/>
        <w:bidi w:val="0"/>
        <w:spacing w:lineRule="auto" w:line="288" w:before="0" w:after="240"/>
        <w:jc w:val="left"/>
        <w:rPr>
          <w:rFonts w:ascii="Effra;sans-serif" w:hAnsi="Effra;sans-serif"/>
          <w:b/>
          <w:color w:val="000000"/>
          <w:sz w:val="20"/>
          <w:shd w:fill="FFFFFF" w:val="clear"/>
        </w:rPr>
      </w:pPr>
      <w:r>
        <w:rPr>
          <w:rFonts w:ascii="Effra;sans-serif" w:hAnsi="Effra;sans-serif"/>
          <w:b/>
          <w:color w:val="000000"/>
          <w:sz w:val="20"/>
          <w:shd w:fill="FFFFFF" w:val="clear"/>
        </w:rPr>
        <w:t>2026 Guidance</w:t>
      </w:r>
    </w:p>
    <w:p>
      <w:pPr>
        <w:pStyle w:val="TextBody"/>
        <w:bidi w:val="0"/>
        <w:spacing w:lineRule="auto" w:line="288" w:before="0" w:after="0"/>
        <w:jc w:val="both"/>
        <w:rPr>
          <w:rFonts w:ascii="Effra;sans-serif" w:hAnsi="Effra;sans-serif"/>
          <w:b w:val="false"/>
          <w:color w:val="000000"/>
          <w:sz w:val="20"/>
        </w:rPr>
      </w:pPr>
      <w:r>
        <w:rPr>
          <w:rFonts w:ascii="Effra;sans-serif" w:hAnsi="Effra;sans-serif"/>
          <w:b w:val="false"/>
          <w:color w:val="000000"/>
          <w:sz w:val="20"/>
        </w:rPr>
        <w:t xml:space="preserve">EVgo is updating full year 2026 guidance as follows: </w:t>
      </w:r>
    </w:p>
    <w:p>
      <w:pPr>
        <w:pStyle w:val="TextBody"/>
        <w:bidi w:val="0"/>
        <w:spacing w:lineRule="auto" w:line="288" w:before="0" w:after="0"/>
        <w:ind w:left="0" w:right="0" w:hanging="360"/>
        <w:jc w:val="left"/>
        <w:rPr/>
      </w:pPr>
      <w:r>
        <w:rPr>
          <w:color w:val="000000"/>
        </w:rPr>
        <w:t>•</w:t>
      </w:r>
      <w:r>
        <w:rPr>
          <w:rFonts w:ascii="Effra;sans-serif" w:hAnsi="Effra;sans-serif"/>
          <w:b w:val="false"/>
          <w:color w:val="000000"/>
          <w:sz w:val="20"/>
        </w:rPr>
        <w:t>Total new stalls of 1,350 - 1,625</w:t>
      </w:r>
    </w:p>
    <w:p>
      <w:pPr>
        <w:pStyle w:val="TextBody"/>
        <w:bidi w:val="0"/>
        <w:spacing w:lineRule="auto" w:line="288" w:before="0" w:after="0"/>
        <w:ind w:left="0" w:right="0" w:hanging="360"/>
        <w:jc w:val="left"/>
        <w:rPr/>
      </w:pPr>
      <w:r>
        <w:rPr>
          <w:color w:val="000000"/>
        </w:rPr>
        <w:t>•</w:t>
      </w:r>
      <w:r>
        <w:rPr>
          <w:rFonts w:ascii="Effra;sans-serif" w:hAnsi="Effra;sans-serif"/>
          <w:b w:val="false"/>
          <w:color w:val="000000"/>
          <w:sz w:val="20"/>
        </w:rPr>
        <w:t>Total revenue of $400 – $430 million</w:t>
      </w:r>
    </w:p>
    <w:p>
      <w:pPr>
        <w:pStyle w:val="TextBody"/>
        <w:bidi w:val="0"/>
        <w:spacing w:lineRule="auto" w:line="288" w:before="0" w:after="240"/>
        <w:ind w:left="0" w:right="0" w:hanging="360"/>
        <w:jc w:val="left"/>
        <w:rPr/>
      </w:pPr>
      <w:r>
        <w:rPr>
          <w:color w:val="000000"/>
        </w:rPr>
        <w:t>•</w:t>
      </w:r>
      <w:r>
        <w:rPr>
          <w:rFonts w:ascii="Effra;sans-serif" w:hAnsi="Effra;sans-serif"/>
          <w:b w:val="false"/>
          <w:color w:val="000000"/>
          <w:sz w:val="20"/>
        </w:rPr>
        <w:t>Adjusted EBITDA</w:t>
      </w:r>
      <w:r>
        <w:rPr>
          <w:rFonts w:ascii="Effra;sans-serif" w:hAnsi="Effra;sans-serif"/>
          <w:b w:val="false"/>
          <w:color w:val="000000"/>
          <w:sz w:val="13"/>
        </w:rPr>
        <w:t>*</w:t>
      </w:r>
      <w:r>
        <w:rPr>
          <w:color w:val="000000"/>
        </w:rPr>
        <w:t xml:space="preserve"> </w:t>
      </w:r>
      <w:r>
        <w:rPr>
          <w:rFonts w:ascii="Effra;sans-serif" w:hAnsi="Effra;sans-serif"/>
          <w:b w:val="false"/>
          <w:color w:val="000000"/>
          <w:sz w:val="20"/>
        </w:rPr>
        <w:t>of $(25) million – $(5) million</w:t>
      </w:r>
    </w:p>
    <w:p>
      <w:pPr>
        <w:pStyle w:val="TextBody"/>
        <w:bidi w:val="0"/>
        <w:spacing w:lineRule="auto" w:line="288" w:before="0" w:after="0"/>
        <w:jc w:val="left"/>
        <w:rPr>
          <w:rFonts w:ascii="Effra;sans-serif" w:hAnsi="Effra;sans-serif"/>
          <w:b w:val="false"/>
          <w:color w:val="000000"/>
          <w:sz w:val="20"/>
        </w:rPr>
      </w:pPr>
      <w:r>
        <w:rPr>
          <w:rFonts w:ascii="Effra;sans-serif" w:hAnsi="Effra;sans-serif"/>
          <w:b w:val="false"/>
          <w:color w:val="000000"/>
          <w:sz w:val="20"/>
        </w:rPr>
        <w:t xml:space="preserve">The Company expects Q1 and Q4 2026 to be the strongest quarters of the year for non-charging revenue. </w:t>
      </w:r>
    </w:p>
    <w:p>
      <w:pPr>
        <w:pStyle w:val="TextBody"/>
        <w:bidi w:val="0"/>
        <w:spacing w:lineRule="auto" w:line="288" w:before="0" w:after="0"/>
        <w:jc w:val="left"/>
        <w:rPr>
          <w:rFonts w:ascii="Effra;sans-serif" w:hAnsi="Effra;sans-serif"/>
          <w:b w:val="false"/>
          <w:i/>
          <w:color w:val="000000"/>
          <w:sz w:val="16"/>
        </w:rPr>
      </w:pPr>
      <w:r>
        <w:rPr>
          <w:rFonts w:ascii="Effra;sans-serif" w:hAnsi="Effra;sans-serif"/>
          <w:b w:val="false"/>
          <w:i/>
          <w:color w:val="000000"/>
          <w:sz w:val="16"/>
        </w:rPr>
        <w:t>__________________________________________________________</w:t>
      </w:r>
    </w:p>
    <w:p>
      <w:pPr>
        <w:pStyle w:val="TextBody"/>
        <w:bidi w:val="0"/>
        <w:spacing w:lineRule="auto" w:line="288" w:before="0" w:after="240"/>
        <w:ind w:left="0" w:right="0" w:hanging="90"/>
        <w:jc w:val="both"/>
        <w:rPr/>
      </w:pPr>
      <w:r>
        <w:rPr>
          <w:rFonts w:ascii="Effra;sans-serif" w:hAnsi="Effra;sans-serif"/>
          <w:b w:val="false"/>
          <w:color w:val="000000"/>
          <w:sz w:val="16"/>
          <w:shd w:fill="FFFFFF" w:val="clear"/>
        </w:rPr>
        <w:t>*</w:t>
      </w:r>
      <w:r>
        <w:rPr>
          <w:rFonts w:ascii="Effra;sans-serif" w:hAnsi="Effra;sans-serif"/>
          <w:b w:val="false"/>
          <w:i/>
          <w:color w:val="000000"/>
          <w:sz w:val="16"/>
          <w:shd w:fill="FFFFFF" w:val="clear"/>
        </w:rPr>
        <w:t>A reconciliation of projected Adjusted EBITDA (non-GAAP) to net loss, the most directly comparable GAAP measure, is not provided because certain measures, including share-based compensation expense, which is excluded from Adjusted EBITDA, cannot be reasonably calculated or predicted at this time without unreasonable efforts. For a definition of Adjusted EBITDA, please see “Definitions of Non-GAAP Financial Measures” included elsewhere in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0" w:after="240"/>
        <w:jc w:val="left"/>
        <w:rPr>
          <w:rFonts w:ascii="Effra;sans-serif" w:hAnsi="Effra;sans-serif"/>
          <w:b/>
          <w:color w:val="000000"/>
          <w:sz w:val="20"/>
        </w:rPr>
      </w:pPr>
      <w:r>
        <w:rPr>
          <w:rFonts w:ascii="Effra;sans-serif" w:hAnsi="Effra;sans-serif"/>
          <w:b/>
          <w:color w:val="000000"/>
          <w:sz w:val="20"/>
        </w:rPr>
        <w:t>Webcast Information</w:t>
      </w:r>
    </w:p>
    <w:p>
      <w:pPr>
        <w:pStyle w:val="TextBody"/>
        <w:bidi w:val="0"/>
        <w:spacing w:lineRule="auto" w:line="288" w:before="0" w:after="240"/>
        <w:jc w:val="both"/>
        <w:rPr/>
      </w:pPr>
      <w:r>
        <w:rPr>
          <w:rFonts w:ascii="Effra;sans-serif" w:hAnsi="Effra;sans-serif"/>
          <w:b w:val="false"/>
          <w:color w:val="000000"/>
          <w:sz w:val="20"/>
          <w:shd w:fill="FFFFFF" w:val="clear"/>
        </w:rPr>
        <w:t xml:space="preserve">A live audio webcast for EVgo’s second quarter 2026 results will be held today at 8 a.m. ET / 5 a.m. PT. The webcast will be available at </w:t>
      </w:r>
      <w:r>
        <w:rPr>
          <w:rFonts w:ascii="Effra;sans-serif" w:hAnsi="Effra;sans-serif"/>
          <w:b w:val="false"/>
          <w:i/>
          <w:color w:val="000000"/>
          <w:sz w:val="20"/>
          <w:shd w:fill="FFFFFF" w:val="clear"/>
        </w:rPr>
        <w:t>investors.evgo.com</w:t>
      </w:r>
      <w:r>
        <w:rPr>
          <w:rFonts w:ascii="Effra;sans-serif" w:hAnsi="Effra;sans-serif"/>
          <w:b w:val="false"/>
          <w:color w:val="000000"/>
          <w:sz w:val="20"/>
          <w:shd w:fill="FFFFFF" w:val="clear"/>
        </w:rPr>
        <w:t>.</w:t>
      </w:r>
    </w:p>
    <w:p>
      <w:pPr>
        <w:pStyle w:val="TextBody"/>
        <w:bidi w:val="0"/>
        <w:spacing w:lineRule="auto" w:line="288" w:before="0" w:after="240"/>
        <w:jc w:val="both"/>
        <w:rPr>
          <w:rFonts w:ascii="Effra;sans-serif" w:hAnsi="Effra;sans-serif"/>
          <w:b w:val="false"/>
          <w:color w:val="000000"/>
          <w:sz w:val="20"/>
          <w:shd w:fill="FFFFFF" w:val="clear"/>
        </w:rPr>
      </w:pPr>
      <w:r>
        <w:rPr>
          <w:rFonts w:ascii="Effra;sans-serif" w:hAnsi="Effra;sans-serif"/>
          <w:b w:val="false"/>
          <w:color w:val="000000"/>
          <w:sz w:val="20"/>
          <w:shd w:fill="FFFFFF" w:val="clear"/>
        </w:rPr>
        <w:t xml:space="preserve">This press release, along with other investor materials that will be used or referred to during the webcast, including a slide presentation and reconciliations of certain non-GAAP measures to their nearest GAAP measures, will also be available on that site. </w:t>
      </w:r>
    </w:p>
    <w:p>
      <w:pPr>
        <w:pStyle w:val="TextBody"/>
        <w:bidi w:val="0"/>
        <w:spacing w:lineRule="auto" w:line="288" w:before="0" w:after="240"/>
        <w:jc w:val="left"/>
        <w:rPr>
          <w:rFonts w:ascii="Effra;sans-serif" w:hAnsi="Effra;sans-serif"/>
          <w:b/>
          <w:color w:val="000000"/>
          <w:sz w:val="20"/>
        </w:rPr>
      </w:pPr>
      <w:r>
        <w:rPr>
          <w:rFonts w:ascii="Effra;sans-serif" w:hAnsi="Effra;sans-serif"/>
          <w:b/>
          <w:color w:val="000000"/>
          <w:sz w:val="20"/>
        </w:rPr>
        <w:t>About EVgo</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EVgo (Nasdaq: EVGO) is one of the nation’s leading public fast charging providers. With more than 1,200 fast charging stations across 47 states, EVgo strategically deploys localized and accessible charging infrastructure by partnering with leading businesses across the U.S., including retailers, grocery stores, restaurants, shopping centers, gas stations, rideshare operators, and autonomous vehicle companies. At its dedicated Innovation Lab, EVgo performs extensive interoperability testing and has ongoing technical collaborations with leading automakers and industry partners to advance the EV charging industry and deliver a seamless charging experience.</w:t>
      </w:r>
    </w:p>
    <w:p>
      <w:pPr>
        <w:pStyle w:val="TextBody"/>
        <w:bidi w:val="0"/>
        <w:spacing w:lineRule="auto" w:line="288" w:before="0" w:after="240"/>
        <w:jc w:val="left"/>
        <w:rPr>
          <w:rFonts w:ascii="Effra;sans-serif" w:hAnsi="Effra;sans-serif"/>
          <w:b/>
          <w:color w:val="000000"/>
          <w:sz w:val="20"/>
        </w:rPr>
      </w:pPr>
      <w:r>
        <w:rPr>
          <w:rFonts w:ascii="Effra;sans-serif" w:hAnsi="Effra;sans-serif"/>
          <w:b/>
          <w:color w:val="000000"/>
          <w:sz w:val="20"/>
        </w:rPr>
        <w:t>Forward-Looking Statements</w:t>
      </w:r>
    </w:p>
    <w:p>
      <w:pPr>
        <w:pStyle w:val="TextBody"/>
        <w:bidi w:val="0"/>
        <w:spacing w:lineRule="auto" w:line="288"/>
        <w:jc w:val="both"/>
        <w:rPr>
          <w:rFonts w:ascii="Effra;sans-serif" w:hAnsi="Effra;sans-serif"/>
          <w:b w:val="false"/>
          <w:color w:val="000000"/>
          <w:sz w:val="20"/>
        </w:rPr>
      </w:pPr>
      <w:r>
        <w:rPr>
          <w:rFonts w:ascii="Effra;sans-serif" w:hAnsi="Effra;sans-serif"/>
          <w:b w:val="false"/>
          <w:color w:val="000000"/>
          <w:sz w:val="20"/>
        </w:rPr>
        <w:t xml:space="preserve">This press release contains “forward-looking statements” within the meaning of Section 27A of the Securities Act of 1933, as amended, and Section 21E of the Securities Exchange Act of 1934, as amended. Forward-looking statements generally relate to future events or the Company’s future financial or operating performance. In some cases, you can identify forward-looking statements by the use of words such as “estimate,” “plan,” “project,” “forecast,” “intend,” “will,” “expect,” “anticipate,” “believe,” “seek,” “target,” “assume” or other similar expressions that predict or indicate future events or trends or that are not statements of historical matters. These forward-looking statements are based on management’s current expectations or beliefs and are subject to numerous assumptions, risks and uncertainties that could cause actual results to differ materially from those described in the forward-looking statements. You are cautioned, therefore, against relying on any of these forward-looking statements. These forward-looking statements include, but are not limited to, those perceived as express or implied statements regarding EVgo’s future financial and operating performance, including full year 2026 guidance ranges and potential drivers thereof; EVgo’s future profitability and priorities; EVgo’s long-term value creation opportunities and addressable market, including pace of deployment, scaling of NACS connectors, enhancements to the customer experience, and key agreements and partnerships, including with Tesla; EVgo’s development of next generation charging architecture and deployment of Tesla Superchargers; EVgo’s progress on its network buildout; EVgo's financing facilities, including its commercial bank facility and debt financing from the U.S. Department of Energy; and the growth of the autonomous vehicle and rideshare markets. These statements are based on various assumptions, whether or not identified in this press release, and on the current expectations of EVgo’s management and are not predictions of actual performance. There are a significant number of factors that could cause actual results to differ materially from the statements made in this press release, including changes adversely affecting EVgo’s business; EVgo’s dependence on the widespread adoption of EVs and growth of the EV and EV charging markets; EVgo’s reliance on existing project finance for the growth of its business, its ability to fully draw on its debt financing from the U.S. Department of Energy (the “DOE Loan”) and its credit facility and its ability to comply with the covenants and other terms thereof; competition from existing and new competitors; EVgo’s ability to expand into new service markets, grow its customer base and manage its operations; the risks associated with cyclical demand for EVgo’s services and vulnerability to industry downturns and regional or national downturns; fluctuations in EVgo’s revenue and operating results; unfavorable conditions or disruptions in the capital and credit markets and EVgo’s ability to obtain additional financing on commercially reasonable terms; EVgo’s ability to generate cash, service indebtedness and incur additional indebtedness; evolving domestic and foreign government laws, regulations, rules and standards that impact EVgo’s business, results of operations and financial condition, including regulations impacting the EV charging market and government programs designed to drive broader adoption of EVs and any reduction, modification or elimination of such programs, such as the enactment of the One Big Beautiful Bill Act of 2025, which addresses, among other things, the termination of the Alternative Fuel Vehicle Refueling Property Credit, other changes in policy under the current administration and 119th Congress and the potential changes in tariffs or sanctions and escalating trade wars; EVgo’s ability to adapt its assets and infrastructure to changes in industry and regulatory standards and market demands related to EV charging; impediments to EVgo’s expansion plans, including permitting and utility-related delays; EVgo’s ability to integrate any businesses it acquires; EVgo’s ability to recruit and retain experienced personnel; risks related to legal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jc w:val="both"/>
        <w:rPr/>
      </w:pPr>
      <w:r>
        <w:rPr>
          <w:rFonts w:ascii="Effra;sans-serif" w:hAnsi="Effra;sans-serif"/>
          <w:b w:val="false"/>
          <w:color w:val="000000"/>
          <w:sz w:val="20"/>
        </w:rPr>
        <w:t xml:space="preserve">proceedings or claims, including liability claims; EVgo’s dependence on third parties, including hardware and software vendors and service providers, utilities and permit-granting entities; supply chain disruptions, elevated rates of inflation and other increases in expenses, including as a result of the implementation of tariffs by the U.S. and other countries; safety and environmental requirements or regulations that may subject EVgo to unanticipated liabilities or costs; EVgo’s ability to enter into and maintain valuable partnerships with commercial or public-entity property owners, landlords and/or tenants, original equipment manufacturers, fleet operators and suppliers; EVgo’s ability to maintain, protect and enhance EVgo’s intellectual property; EVgo’s ability to identify and complete suitable acquisitions or other strategic transactions to meet its goals and integrate key businesses it acquires; and the impact of general economic or political conditions, including associated changes in U.S. fiscal and monetary policy such as elevated interest rates, evolving tariff or other changes in trade policy and geopolitical events such as global conflict in Ukraine and tensions in the Middle East region. The forward-looking statements contained in this press release are also subject to other risks and uncertainties, including those more fully described in the Company’s filings with the Securities and Exchange Commission (the “SEC”) including its most recent Annual Report on Form 10-K, as well as its other SEC filings, copies of which are available on EVgo’s website at </w:t>
      </w:r>
      <w:r>
        <w:rPr>
          <w:rFonts w:ascii="Effra;sans-serif" w:hAnsi="Effra;sans-serif"/>
          <w:b w:val="false"/>
          <w:i/>
          <w:color w:val="000000"/>
          <w:sz w:val="20"/>
        </w:rPr>
        <w:t>investors.evgo.com</w:t>
      </w:r>
      <w:r>
        <w:rPr>
          <w:rFonts w:ascii="Effra;sans-serif" w:hAnsi="Effra;sans-serif"/>
          <w:b w:val="false"/>
          <w:color w:val="000000"/>
          <w:sz w:val="20"/>
        </w:rPr>
        <w:t xml:space="preserve">, and on the SEC’s website at </w:t>
      </w:r>
      <w:r>
        <w:rPr>
          <w:rFonts w:ascii="Effra;sans-serif" w:hAnsi="Effra;sans-serif"/>
          <w:b w:val="false"/>
          <w:i/>
          <w:color w:val="000000"/>
          <w:sz w:val="20"/>
        </w:rPr>
        <w:t>www.sec.gov</w:t>
      </w:r>
      <w:r>
        <w:rPr>
          <w:rFonts w:ascii="Effra;sans-serif" w:hAnsi="Effra;sans-serif"/>
          <w:b w:val="false"/>
          <w:color w:val="000000"/>
          <w:sz w:val="20"/>
        </w:rPr>
        <w:t>. The forward-looking statements in this press release are based on information available to the Company as of the date hereof, and the Company disclaims any obligation to update any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Effra;sans-serif" w:hAnsi="Effra;sans-serif"/>
          <w:b/>
          <w:color w:val="000000"/>
          <w:sz w:val="20"/>
          <w:u w:val="single"/>
        </w:rPr>
      </w:pPr>
      <w:r>
        <w:rPr>
          <w:rFonts w:ascii="Effra;sans-serif" w:hAnsi="Effra;sans-serif"/>
          <w:b/>
          <w:color w:val="000000"/>
          <w:sz w:val="20"/>
          <w:u w:val="single"/>
        </w:rPr>
        <w:t>EVgo Inc. and Subsidiaries</w:t>
      </w:r>
    </w:p>
    <w:p>
      <w:pPr>
        <w:pStyle w:val="TextBody"/>
        <w:bidi w:val="0"/>
        <w:spacing w:lineRule="auto" w:line="288" w:before="0" w:after="240"/>
        <w:jc w:val="center"/>
        <w:rPr>
          <w:rFonts w:ascii="Effra;sans-serif" w:hAnsi="Effra;sans-serif"/>
          <w:b/>
          <w:color w:val="000000"/>
          <w:sz w:val="20"/>
        </w:rPr>
      </w:pPr>
      <w:r>
        <w:rPr>
          <w:rFonts w:ascii="Effra;sans-serif" w:hAnsi="Effra;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590"/>
        <w:gridCol w:w="2134"/>
        <w:gridCol w:w="2113"/>
        <w:gridCol w:w="238"/>
        <w:gridCol w:w="1000"/>
        <w:gridCol w:w="115"/>
        <w:gridCol w:w="109"/>
        <w:gridCol w:w="109"/>
        <w:gridCol w:w="109"/>
        <w:gridCol w:w="287"/>
        <w:gridCol w:w="1202"/>
        <w:gridCol w:w="199"/>
      </w:tblGrid>
      <w:tr>
        <w:trPr/>
        <w:tc>
          <w:tcPr>
            <w:tcW w:w="2590"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December 31, 2025</w:t>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(in thousands)</w:t>
            </w:r>
          </w:p>
        </w:tc>
        <w:tc>
          <w:tcPr>
            <w:tcW w:w="135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val="false"/>
                <w:color w:val="000000"/>
                <w:sz w:val="16"/>
              </w:rPr>
            </w:pPr>
            <w:r>
              <w:rPr>
                <w:rFonts w:ascii="Effra;sans-serif" w:hAnsi="Effra;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Assets</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Current assets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121,822 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151,000 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Restricted cash, current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61,684 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49,519 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Accounts receivable, net of allowance of $32 and $75 as of June 30, 2026 and December 31, 2025, respectively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29,349 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38,628 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Accounts receivable, capital-build</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15,481 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19,461 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Prepaids and other current assets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44,488 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37,872 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current assets</w:t>
            </w:r>
          </w:p>
        </w:tc>
        <w:tc>
          <w:tcPr>
            <w:tcW w:w="12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272,824 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296,480 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Restricted cash, noncurrent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14,144 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10,227 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Property, equipment and software, net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469,281 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460,747 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Operating lease right-of-use assets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114,412 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102,966 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Other assets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35,161 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30,937 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Intangible assets, net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30,031 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32,421 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Goodwill</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31,052 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31,052 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assets</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966,905 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964,830 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Liabilities, redeemable noncontrolling interest and stockholders’ deficit</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Current liabilities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Accounts payable</w:t>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12,383 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7,582 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Accrued liabilities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49,191 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59,924 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Operating lease liabilities, current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9,720 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7,765 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Deferred revenue, current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45,849 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55,060 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Warrant liabilities, at fair value</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1,370 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Long-term debt, current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2,146 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Other current liabilities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3,802 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1,475 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current liabilities</w:t>
            </w:r>
          </w:p>
        </w:tc>
        <w:tc>
          <w:tcPr>
            <w:tcW w:w="12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124,693 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135,322 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Operating lease liabilities, noncurrent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108,585 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96,983 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Asset retirement obligations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33,411 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30,868 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Capital-build liability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53,374 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55,820 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Deferred revenue, noncurrent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41,155 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47,711 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Long-term debt, noncurrent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293,670 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204,316 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Other long-term liabilities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2,419 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7,866 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liabilities</w:t>
            </w:r>
          </w:p>
        </w:tc>
        <w:tc>
          <w:tcPr>
            <w:tcW w:w="12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657,307 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578,886 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74"/>
        <w:gridCol w:w="2117"/>
        <w:gridCol w:w="2124"/>
        <w:gridCol w:w="230"/>
        <w:gridCol w:w="965"/>
        <w:gridCol w:w="111"/>
        <w:gridCol w:w="109"/>
        <w:gridCol w:w="109"/>
        <w:gridCol w:w="109"/>
        <w:gridCol w:w="247"/>
        <w:gridCol w:w="1037"/>
        <w:gridCol w:w="173"/>
      </w:tblGrid>
      <w:tr>
        <w:trPr/>
        <w:tc>
          <w:tcPr>
            <w:tcW w:w="287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December 31, 2025</w:t>
            </w:r>
          </w:p>
        </w:tc>
      </w:tr>
      <w:tr>
        <w:trPr/>
        <w:tc>
          <w:tcPr>
            <w:tcW w:w="71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(in thousands, except share data)</w:t>
            </w:r>
          </w:p>
        </w:tc>
        <w:tc>
          <w:tcPr>
            <w:tcW w:w="13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val="false"/>
                <w:i/>
                <w:color w:val="000000"/>
                <w:sz w:val="16"/>
              </w:rPr>
            </w:pPr>
            <w:r>
              <w:rPr>
                <w:rFonts w:ascii="Effra;sans-serif" w:hAnsi="Effra;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Redeemable noncontrolling interest</w:t>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330,048 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502,848 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Stockholders’ deficit</w:t>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Effra;sans-serif" w:hAnsi="Effra;sans-serif"/>
                <w:b w:val="false"/>
                <w:color w:val="000000"/>
                <w:sz w:val="20"/>
              </w:rPr>
            </w:pPr>
            <w:r>
              <w:rPr>
                <w:rFonts w:ascii="Effra;sans-serif" w:hAnsi="Effra;sans-serif"/>
                <w:b w:val="false"/>
                <w:color w:val="000000"/>
                <w:sz w:val="20"/>
              </w:rPr>
              <w:t>Preferred stock, $0.0001 par value; 10,000,000 shares authorized as of June 30, 2026 and December 31, 2025; none issued and outstanding</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73" w:before="0" w:after="1"/>
              <w:jc w:val="left"/>
              <w:rPr>
                <w:rFonts w:ascii="Effra;sans-serif" w:hAnsi="Effra;sans-serif"/>
                <w:b w:val="false"/>
                <w:color w:val="000000"/>
                <w:sz w:val="20"/>
              </w:rPr>
            </w:pPr>
            <w:r>
              <w:rPr>
                <w:rFonts w:ascii="Effra;sans-serif" w:hAnsi="Effra;sans-serif"/>
                <w:b w:val="false"/>
                <w:color w:val="000000"/>
                <w:sz w:val="20"/>
              </w:rPr>
              <w:t>Class A common stock, $0.0001 par value; 1,200,000,000 shares authorized as of June 30, 2026 and December 31, 2025; 140,390,001 and 134,717,984 shares issued and outstanding (excluding 718,750 shares subject to possible forfeiture) as of June 30, 2026 and December 31, 2025, respectively</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Effra;sans-serif" w:hAnsi="Effra;sans-serif"/>
                <w:b w:val="false"/>
                <w:color w:val="000000"/>
                <w:sz w:val="20"/>
              </w:rPr>
            </w:pPr>
            <w:r>
              <w:rPr>
                <w:rFonts w:ascii="Effra;sans-serif" w:hAnsi="Effra;sans-serif"/>
                <w:b w:val="false"/>
                <w:color w:val="000000"/>
                <w:sz w:val="20"/>
              </w:rPr>
              <w:t>Class B common stock, $0.0001 par value; 400,000,000 shares authorized as of June 30, 2026 and December 31, 2025; 172,800,000 shares issued and outstanding as of June 30, 2026 and December 31, 2025</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Additional paid-in capital</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7,753 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Accumulated deficit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(20,443)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(124,687)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Accumulated other comprehensive loss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stockholders’ deficit</w:t>
            </w:r>
          </w:p>
        </w:tc>
        <w:tc>
          <w:tcPr>
            <w:tcW w:w="11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(20,450)</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(116,904)</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liabilities, redeemable noncontrolling interest and stockholders’ deficit</w:t>
            </w:r>
          </w:p>
        </w:tc>
        <w:tc>
          <w:tcPr>
            <w:tcW w:w="2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6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966,905 </w:t>
            </w:r>
          </w:p>
        </w:tc>
        <w:tc>
          <w:tcPr>
            <w:tcW w:w="1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0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964,830 </w:t>
            </w:r>
          </w:p>
        </w:tc>
        <w:tc>
          <w:tcPr>
            <w:tcW w:w="17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Effra;sans-serif" w:hAnsi="Effra;sans-serif"/>
          <w:b/>
          <w:color w:val="000000"/>
          <w:sz w:val="20"/>
          <w:u w:val="single"/>
        </w:rPr>
      </w:pPr>
      <w:r>
        <w:rPr>
          <w:rFonts w:ascii="Effra;sans-serif" w:hAnsi="Effra;sans-serif"/>
          <w:b/>
          <w:color w:val="000000"/>
          <w:sz w:val="20"/>
          <w:u w:val="single"/>
        </w:rPr>
        <w:t>EVgo Inc. and Subsidiaries</w:t>
      </w:r>
    </w:p>
    <w:p>
      <w:pPr>
        <w:pStyle w:val="TextBody"/>
        <w:bidi w:val="0"/>
        <w:spacing w:lineRule="auto" w:line="288" w:before="0" w:after="0"/>
        <w:jc w:val="center"/>
        <w:rPr>
          <w:rFonts w:ascii="Effra;sans-serif" w:hAnsi="Effra;sans-serif"/>
          <w:b/>
          <w:color w:val="000000"/>
          <w:sz w:val="20"/>
        </w:rPr>
      </w:pPr>
      <w:r>
        <w:rPr>
          <w:rFonts w:ascii="Effra;sans-serif" w:hAnsi="Effra;sans-serif"/>
          <w:b/>
          <w:color w:val="000000"/>
          <w:sz w:val="20"/>
        </w:rPr>
        <w:t>Condensed Consolidated Statements of Operations</w:t>
      </w:r>
    </w:p>
    <w:p>
      <w:pPr>
        <w:pStyle w:val="TextBody"/>
        <w:bidi w:val="0"/>
        <w:spacing w:lineRule="auto" w:line="288" w:before="0" w:after="240"/>
        <w:jc w:val="center"/>
        <w:rPr>
          <w:rFonts w:ascii="Effra;sans-serif" w:hAnsi="Effra;sans-serif"/>
          <w:b/>
          <w:color w:val="000000"/>
          <w:sz w:val="20"/>
        </w:rPr>
      </w:pPr>
      <w:r>
        <w:rPr>
          <w:rFonts w:ascii="Effra;sans-serif" w:hAnsi="Effra;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89"/>
        <w:gridCol w:w="445"/>
        <w:gridCol w:w="446"/>
        <w:gridCol w:w="226"/>
        <w:gridCol w:w="844"/>
        <w:gridCol w:w="109"/>
        <w:gridCol w:w="109"/>
        <w:gridCol w:w="109"/>
        <w:gridCol w:w="109"/>
        <w:gridCol w:w="226"/>
        <w:gridCol w:w="844"/>
        <w:gridCol w:w="109"/>
        <w:gridCol w:w="109"/>
        <w:gridCol w:w="109"/>
        <w:gridCol w:w="109"/>
        <w:gridCol w:w="268"/>
        <w:gridCol w:w="268"/>
        <w:gridCol w:w="269"/>
        <w:gridCol w:w="109"/>
        <w:gridCol w:w="109"/>
        <w:gridCol w:w="109"/>
        <w:gridCol w:w="226"/>
        <w:gridCol w:w="946"/>
        <w:gridCol w:w="109"/>
        <w:gridCol w:w="109"/>
        <w:gridCol w:w="109"/>
        <w:gridCol w:w="109"/>
        <w:gridCol w:w="226"/>
        <w:gridCol w:w="844"/>
        <w:gridCol w:w="109"/>
        <w:gridCol w:w="109"/>
        <w:gridCol w:w="109"/>
        <w:gridCol w:w="109"/>
        <w:gridCol w:w="279"/>
        <w:gridCol w:w="264"/>
        <w:gridCol w:w="524"/>
      </w:tblGrid>
      <w:tr>
        <w:trPr/>
        <w:tc>
          <w:tcPr>
            <w:tcW w:w="9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Six Months Ended June 30,</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(in thousands, except per share data)</w:t>
            </w:r>
          </w:p>
        </w:tc>
        <w:tc>
          <w:tcPr>
            <w:tcW w:w="117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 %</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Revenue</w:t>
            </w:r>
          </w:p>
        </w:tc>
        <w:tc>
          <w:tcPr>
            <w:tcW w:w="11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charging network</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18 </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Non-charging network</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 xml:space="preserve">eXtend </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AV and ancillary</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76 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non-charging network</w:t>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21,227 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46,202 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75,041 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74,391 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1 </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revenue</w:t>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82,648 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98,030 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192,179 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173,317 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Cost of sales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Charging network</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20 </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Other</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37,235 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Depreciation, net of capital-build amortization</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17 </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cost of sales</w:t>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75,306 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84,122 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171,879 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150,086 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Gross profit</w:t>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7,342 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13,908 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20,300 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23,231 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Operating expenses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General and administrative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90,363 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Depreciation, amortization and accretion</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(22)</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operating expenses</w:t>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47,490 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44,720 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96,793 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87,443 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Operating loss</w:t>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(40,148)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(30,812)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(76,493)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(64,212)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19 </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Other (expense) income, net</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Interest expense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680 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Interest income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Other income, net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Change in fair value of earnout liability</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(96)</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Change in fair value of warrant liabilities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(79)</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other (expense) income, net</w:t>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(6,444)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994 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(7,068)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8,258 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(186)</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Loss before income tax expense</w:t>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(46,592)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(29,818)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(83,561)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(55,954)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49 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Income tax benefit (expense)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(353)</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loss</w:t>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(46,342)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(29,821)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(83,323)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(56,048)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49 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Less: net loss attributable to redeemable noncontrolling interest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(25,569)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46 </w:t>
            </w:r>
          </w:p>
        </w:tc>
        <w:tc>
          <w:tcPr>
            <w:tcW w:w="5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loss attributable to Class A common stockholders</w:t>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(20,773)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(12,998)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(37,194)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(24,360)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53 </w:t>
            </w:r>
          </w:p>
        </w:tc>
        <w:tc>
          <w:tcPr>
            <w:tcW w:w="5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loss per share attributable to Class A common stockholders, basic and diluted</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Weighted average Class A common stock outstanding, basic and diluted</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140,364 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133,484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132,644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Effra;sans-serif" w:hAnsi="Effra;sans-serif"/>
          <w:b w:val="false"/>
          <w:i/>
          <w:color w:val="000000"/>
          <w:sz w:val="16"/>
        </w:rPr>
      </w:pPr>
      <w:r>
        <w:rPr>
          <w:rFonts w:ascii="Effra;sans-serif" w:hAnsi="Effra;sans-serif"/>
          <w:b w:val="false"/>
          <w:i/>
          <w:color w:val="000000"/>
          <w:sz w:val="16"/>
        </w:rPr>
        <w:t>___________________________________________________________</w:t>
      </w:r>
    </w:p>
    <w:p>
      <w:pPr>
        <w:pStyle w:val="TextBody"/>
        <w:bidi w:val="0"/>
        <w:spacing w:lineRule="auto" w:line="288" w:before="0" w:after="0"/>
        <w:jc w:val="both"/>
        <w:rPr>
          <w:rFonts w:ascii="Effra;sans-serif" w:hAnsi="Effra;sans-serif"/>
          <w:b w:val="false"/>
          <w:i/>
          <w:color w:val="000000"/>
          <w:sz w:val="16"/>
        </w:rPr>
      </w:pPr>
      <w:r>
        <w:rPr>
          <w:rFonts w:ascii="Effra;sans-serif" w:hAnsi="Effra;sans-serif"/>
          <w:b w:val="false"/>
          <w:i/>
          <w:color w:val="000000"/>
          <w:sz w:val="16"/>
        </w:rPr>
        <w:t>* Percentage greater than 999% or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Effra;sans-serif" w:hAnsi="Effra;sans-serif"/>
          <w:b/>
          <w:color w:val="000000"/>
          <w:sz w:val="20"/>
          <w:u w:val="single"/>
        </w:rPr>
      </w:pPr>
      <w:r>
        <w:rPr>
          <w:rFonts w:ascii="Effra;sans-serif" w:hAnsi="Effra;sans-serif"/>
          <w:b/>
          <w:color w:val="000000"/>
          <w:sz w:val="20"/>
          <w:u w:val="single"/>
        </w:rPr>
        <w:t>EVgo Inc. and Subsidiaries</w:t>
      </w:r>
    </w:p>
    <w:p>
      <w:pPr>
        <w:pStyle w:val="TextBody"/>
        <w:bidi w:val="0"/>
        <w:spacing w:lineRule="auto" w:line="288" w:before="0" w:after="0"/>
        <w:jc w:val="center"/>
        <w:rPr>
          <w:rFonts w:ascii="Effra;sans-serif" w:hAnsi="Effra;sans-serif"/>
          <w:b/>
          <w:color w:val="000000"/>
          <w:sz w:val="20"/>
        </w:rPr>
      </w:pPr>
      <w:r>
        <w:rPr>
          <w:rFonts w:ascii="Effra;sans-serif" w:hAnsi="Effra;sans-serif"/>
          <w:b/>
          <w:color w:val="000000"/>
          <w:sz w:val="20"/>
        </w:rPr>
        <w:t>Condensed Consolidated Statements of Cash Flows</w:t>
      </w:r>
    </w:p>
    <w:p>
      <w:pPr>
        <w:pStyle w:val="TextBody"/>
        <w:bidi w:val="0"/>
        <w:spacing w:lineRule="auto" w:line="288" w:before="0" w:after="240"/>
        <w:jc w:val="center"/>
        <w:rPr>
          <w:rFonts w:ascii="Effra;sans-serif" w:hAnsi="Effra;sans-serif"/>
          <w:b/>
          <w:color w:val="000000"/>
          <w:sz w:val="20"/>
        </w:rPr>
      </w:pPr>
      <w:r>
        <w:rPr>
          <w:rFonts w:ascii="Effra;sans-serif" w:hAnsi="Effra;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41"/>
        <w:gridCol w:w="2258"/>
        <w:gridCol w:w="2270"/>
        <w:gridCol w:w="226"/>
        <w:gridCol w:w="946"/>
        <w:gridCol w:w="109"/>
        <w:gridCol w:w="109"/>
        <w:gridCol w:w="109"/>
        <w:gridCol w:w="109"/>
        <w:gridCol w:w="226"/>
        <w:gridCol w:w="946"/>
        <w:gridCol w:w="156"/>
      </w:tblGrid>
      <w:tr>
        <w:trPr/>
        <w:tc>
          <w:tcPr>
            <w:tcW w:w="274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Six Months Ended June 30,</w:t>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(in thousands)</w:t>
            </w:r>
          </w:p>
        </w:tc>
        <w:tc>
          <w:tcPr>
            <w:tcW w:w="12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2025</w:t>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Cash flows from operating activities</w:t>
            </w:r>
          </w:p>
        </w:tc>
        <w:tc>
          <w:tcPr>
            <w:tcW w:w="12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(83,323)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(56,048)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Adjustments to reconcile net loss to net cash (used in) provided by operating activities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Depreciation, amortization and accretion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38,516 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loss on disposal of property and equipment, net of insurance recoveries, and impairment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Share-based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Bad debt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Change in fair value of earnout liability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Change in fair value of warrant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(5,704)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Paid-in-kind interest, amortization of deferred debt issuance costs, net of capitalized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Gain on sales-type lease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Changes in operating assets and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Accounts receivable,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Prepaids and other current assets and other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Operating lease assets and liabilities,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Accounts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(4,875)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Accrued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8,737 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Deferred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Other current and noncurrent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cash (used in) provided by operating activities</w:t>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(41,852)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3,843 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Cash flows from investing activities</w:t>
            </w:r>
          </w:p>
        </w:tc>
        <w:tc>
          <w:tcPr>
            <w:tcW w:w="128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Capital expenditures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(64,398)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(41,191)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Proceeds from insurance for property losses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cash used in investing activities</w:t>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(64,335)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(41,167)</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Cash flows from financing activities</w:t>
            </w:r>
          </w:p>
        </w:tc>
        <w:tc>
          <w:tcPr>
            <w:tcW w:w="128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Proceeds from long-term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94,180 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Payments on 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Proceeds from capital-build funding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Payments of withholding tax on net issuance of restricted stock units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Payments of deferred debt issuance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(2,513)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cash provided by financing activities</w:t>
            </w:r>
          </w:p>
        </w:tc>
        <w:tc>
          <w:tcPr>
            <w:tcW w:w="117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93,091 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100,189 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Net (decrease) increase in cash, cash equivalents and restricted cash</w:t>
            </w:r>
          </w:p>
        </w:tc>
        <w:tc>
          <w:tcPr>
            <w:tcW w:w="117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(13,096)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62,865 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Cash, cash equivalents and restricted cash, beginning of period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210,746 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120,512 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Cash, cash equivalents and restricted cash, end of period</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197,650 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183,377 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lineRule="auto" w:line="288" w:before="0" w:after="240"/>
        <w:jc w:val="left"/>
        <w:rPr>
          <w:rFonts w:ascii="Effra;sans-serif" w:hAnsi="Effra;sans-serif"/>
          <w:b/>
          <w:color w:val="000000"/>
          <w:sz w:val="20"/>
        </w:rPr>
      </w:pPr>
      <w:r>
        <w:rPr>
          <w:rFonts w:ascii="Effra;sans-serif" w:hAnsi="Effra;sans-serif"/>
          <w:b/>
          <w:color w:val="000000"/>
          <w:sz w:val="20"/>
        </w:rPr>
        <w:t>Use of Non-GAAP Financial Measures</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To supplement EVgo’s financial information, which is prepared and presented in accordance with GAAP, EVgo uses certain non-GAAP financial measures. The presentation of non-GAAP financial measures is not intended to be considered in isolation or as a substitute for, or superior to, the financial information prepared and presented in accordance with GAAP. EVgo uses these non-GAAP financial measures for financial and operational decision-making and as a means to evaluate period-to-period comparisons. EVgo believes that these non-GAAP financial measures provide meaningful supplemental information regarding the Company’s performance by excluding certain items that may not be indicative of EVgo’s recurring core business operating results.</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EVgo believes that both management and investors benefit from referring to these non-GAAP financial measures in assessing EVgo’s performance. These non-GAAP financial measures also facilitate management’s internal comparisons to the Company’s historical performance. EVgo believes these non-GAAP financial measures are useful to investors both because (1) they allow for greater transparency with respect to key metrics used by management in its financial and operational decision-making and (2) they are used by EVgo’s institutional investors and the analyst community to help them analyze the health of EVgo’s business.</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For more information on these non-GAAP financial measures, including reconciliations to the most comparable GAAP measures, please see the sections titled “Definitions of Non-GAAP Financial Measures” and “Reconciliations of Non-GAAP Financial Measures.”</w:t>
      </w:r>
    </w:p>
    <w:p>
      <w:pPr>
        <w:pStyle w:val="TextBody"/>
        <w:bidi w:val="0"/>
        <w:spacing w:lineRule="auto" w:line="288" w:before="0" w:after="240"/>
        <w:jc w:val="left"/>
        <w:rPr>
          <w:rFonts w:ascii="Effra;sans-serif" w:hAnsi="Effra;sans-serif"/>
          <w:b/>
          <w:color w:val="000000"/>
          <w:sz w:val="20"/>
        </w:rPr>
      </w:pPr>
      <w:r>
        <w:rPr>
          <w:rFonts w:ascii="Effra;sans-serif" w:hAnsi="Effra;sans-serif"/>
          <w:b/>
          <w:color w:val="000000"/>
          <w:sz w:val="20"/>
        </w:rPr>
        <w:t xml:space="preserve">Definitions of Non-GAAP Financial Measures </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 xml:space="preserve">This release includes the following non-GAAP financial measures, in each case as defined below: “Charging Network Gross Profit,” “Charging Network Gross Margin,” “Adjusted Cost of Sales,” “Adjusted Cost of Sales as a Percentage of Revenue,” “Adjusted Gross Profit (Loss),” “Adjusted Gross Margin,” “Adjusted General and Administrative Expenses,” “Adjusted General and Administrative Expenses as a Percentage of Revenue,” “EBITDA,” “EBITDA Margin,” “Adjusted EBITDA,” “Adjusted EBITDA Margin,” and “Capital Expenditures, Net of Capital Offsets.” With respect to Capital Expenditures, Net of Capital Offsets, pursuant to the terms of certain OEM contracts, EVgo is paid well in advance of when revenue can be recognized, and usually, the payment is tied to the number of stalls that are complete under the applicable contractual arrangement while the related revenue is deferred at the time of payment and is recognized as revenue over time as EVgo provides charging and other services to the OEM and the OEM’s customers. EVgo management therefore uses these measures internally to establish forecasts, budgets, and operational goals to manage and monitor its business, including the cash used for, and the return on, its investment in its charging infrastructure. EVgo believes that these measures are useful to investors in evaluating EVgo’s performance and help to depict a meaningful representation of the performance of the underlying business, enabling EVgo to evaluate and plan more effectively for the future. </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Charging Network Gross Profit, Charging Network Gross Margin, Adjusted Cost of Sales, Adjusted Cost of Sales as a Percentage of Revenue, Adjusted Gross Profit (Loss), Adjusted Gross Margin, Adjusted General and Administrative Expenses, Adjusted General and Administrative Expenses as a Percentage of Revenue, EBITDA, EBITDA Margin, Adjusted EBITDA, Adjusted EBITDA Margin and Capital Expenditures, Net of Capital Offsets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EVgo’s financial performance. These metrics should not be considered as alternatives to net income (loss) or any other performance measures derived in accordance with GAAP.</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 xml:space="preserve">EVgo defines Charging Network Gross Profit as total charging network revenue less charging network cost of sales. EVgo defines Charging Network Gross Margin as Charging Network Gross Profit divided by total charging network revenue. EVgo defines Adjusted Cost of Sales as cost of sales before (i) depreciation, net of capital-build amortization, and (ii) share-based compensation. EVgo defines Adjusted Cost of Sales as a Percentage of Revenue as Adjusted Cost of Sales as a percentage of revenue. EVgo defines Adjusted Gross Profit (Loss) as revenue less Adjusted Cost of Sales. EVgo defines Adjusted Gross Margin as Adjusted Gross Profit (Loss) as a percentage of revenue. EVgo defines Adjusted General and Administrative Expenses as general and administrative expenses before (i) share-based compensation, (ii) loss on disposal of property and equipment, net of insurance recoveries, and impairment expense, (iii) bad debt expense (recoveries), and (iv) certain other items that management believes are not indicative of EVgo’s ongoing performance. EVgo defines Adjusted General and Administrative Expenses as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a Percentage of Revenue as Adjusted General and Administrative Expenses as a percentage of revenue. EVgo defines EBITDA as net income (loss) before (i) depreciation, net of capital-build amortization, (ii) amortization, (iii) accretion, (iv) interest expense, (v) interest income, and (vi) income tax expense (benefit). EVgo defines EBITDA Margin as EBITDA as a percentage of revenue. EVgo defines Adjusted EBITDA as EBITDA plus (i) share-based compensation, (ii) loss on disposal of property and equipment, net of insurance recoveries, and impairment expense, (iii) loss (gain) on investments, (iv) bad debt expense (recoveries), (v) change in fair value of earnout liability, (vi) change in fair value of warrant liabilities, and (vii) certain other items that management believes are not indicative of EVgo’s ongoing performance. EVgo defines Adjusted EBITDA Margin as Adjusted EBITDA as a percentage of revenue. EVgo defines Capital Expenditures, Net of Capital Offsets as capital expenditures adjusted for the following capital offsets: (i) all payments under OEM infrastructure agreements excluding any amounts directly attributable to OEM customer charging credit programs and pass-through of non-capital expense reimbursements, (ii) proceeds from capital-build funding and (iii) proceeds from the transfer of 30C income tax credits, net of transaction costs. The tables below present quantitative reconciliations of these measures to their most directly comparable GAAP measures as described in this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lineRule="auto" w:line="288" w:before="0" w:after="240"/>
        <w:jc w:val="left"/>
        <w:rPr>
          <w:rFonts w:ascii="Effra;sans-serif" w:hAnsi="Effra;sans-serif"/>
          <w:b/>
          <w:color w:val="000000"/>
          <w:sz w:val="20"/>
        </w:rPr>
      </w:pPr>
      <w:r>
        <w:rPr>
          <w:rFonts w:ascii="Effra;sans-serif" w:hAnsi="Effra;sans-serif"/>
          <w:b/>
          <w:color w:val="000000"/>
          <w:sz w:val="20"/>
        </w:rPr>
        <w:t>Reconciliations of Non-GAAP Financial Measures</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The following unaudited table presents a reconciliation of EBITDA, EBITDA Margin, Adjusted EBITDA, and Adjusted EBITDA Margin to the most directly comparable GAAP measure:</w:t>
      </w:r>
    </w:p>
    <w:tbl>
      <w:tblPr>
        <w:tblW w:w="10244" w:type="dxa"/>
        <w:jc w:val="left"/>
        <w:tblInd w:w="0" w:type="dxa"/>
        <w:tblLayout w:type="fixed"/>
        <w:tblCellMar>
          <w:top w:w="28" w:type="dxa"/>
          <w:left w:w="28" w:type="dxa"/>
          <w:bottom w:w="28" w:type="dxa"/>
          <w:right w:w="28" w:type="dxa"/>
        </w:tblCellMar>
      </w:tblPr>
      <w:tblGrid>
        <w:gridCol w:w="821"/>
        <w:gridCol w:w="339"/>
        <w:gridCol w:w="341"/>
        <w:gridCol w:w="109"/>
        <w:gridCol w:w="109"/>
        <w:gridCol w:w="109"/>
        <w:gridCol w:w="361"/>
        <w:gridCol w:w="240"/>
        <w:gridCol w:w="601"/>
        <w:gridCol w:w="109"/>
        <w:gridCol w:w="109"/>
        <w:gridCol w:w="109"/>
        <w:gridCol w:w="361"/>
        <w:gridCol w:w="240"/>
        <w:gridCol w:w="601"/>
        <w:gridCol w:w="109"/>
        <w:gridCol w:w="109"/>
        <w:gridCol w:w="109"/>
        <w:gridCol w:w="313"/>
        <w:gridCol w:w="213"/>
        <w:gridCol w:w="452"/>
        <w:gridCol w:w="109"/>
        <w:gridCol w:w="109"/>
        <w:gridCol w:w="109"/>
        <w:gridCol w:w="226"/>
        <w:gridCol w:w="946"/>
        <w:gridCol w:w="271"/>
        <w:gridCol w:w="109"/>
        <w:gridCol w:w="109"/>
        <w:gridCol w:w="109"/>
        <w:gridCol w:w="282"/>
        <w:gridCol w:w="319"/>
        <w:gridCol w:w="632"/>
        <w:gridCol w:w="276"/>
        <w:gridCol w:w="265"/>
        <w:gridCol w:w="509"/>
      </w:tblGrid>
      <w:tr>
        <w:trPr/>
        <w:tc>
          <w:tcPr>
            <w:tcW w:w="8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Six Months Ended June 30,</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(unaudited, 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2025</w:t>
            </w:r>
          </w:p>
        </w:tc>
        <w:tc>
          <w:tcPr>
            <w:tcW w:w="10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GAAP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82,648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98,030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192,179 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173,317</w:t>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11 </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(46,342)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55 </w:t>
            </w:r>
          </w:p>
        </w:tc>
        <w:tc>
          <w:tcPr>
            <w:tcW w:w="4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(83,323)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(56,048)</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49 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GAAP net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(56.1)</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(30.4)</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(2,570)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(43.4)</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(32.3)</w:t>
            </w:r>
          </w:p>
        </w:tc>
        <w:tc>
          <w:tcPr>
            <w:tcW w:w="6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(1,110) bps</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EBITDA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Depreciation, net of capital-build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32 </w:t>
            </w:r>
          </w:p>
        </w:tc>
        <w:tc>
          <w:tcPr>
            <w:tcW w:w="4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35,767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30,456</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w:t>
            </w:r>
          </w:p>
        </w:tc>
        <w:tc>
          <w:tcPr>
            <w:tcW w:w="4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6,754</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w:t>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1,306</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797 </w:t>
            </w:r>
          </w:p>
        </w:tc>
        <w:tc>
          <w:tcPr>
            <w:tcW w:w="4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1,426</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680 </w:t>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w:t>
            </w:r>
          </w:p>
        </w:tc>
        <w:tc>
          <w:tcPr>
            <w:tcW w:w="4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(3,412)</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94</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(353)</w:t>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EBITDA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28,445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61 </w:t>
            </w:r>
          </w:p>
        </w:tc>
        <w:tc>
          <w:tcPr>
            <w:tcW w:w="4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49,920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36,624</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36 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47 </w:t>
            </w:r>
          </w:p>
        </w:tc>
        <w:tc>
          <w:tcPr>
            <w:tcW w:w="4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2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(33,403)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(19,424)</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72 </w:t>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(21.7)</w:t>
            </w:r>
          </w:p>
        </w:tc>
        <w:tc>
          <w:tcPr>
            <w:tcW w:w="6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(12.4)</w:t>
            </w:r>
          </w:p>
        </w:tc>
        <w:tc>
          <w:tcPr>
            <w:tcW w:w="60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(930)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(17.4)</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(11.2)</w:t>
            </w:r>
          </w:p>
        </w:tc>
        <w:tc>
          <w:tcPr>
            <w:tcW w:w="6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(620) bps</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Adjusted EBITDA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(53)</w:t>
            </w:r>
          </w:p>
        </w:tc>
        <w:tc>
          <w:tcPr>
            <w:tcW w:w="4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12,525</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(40)</w:t>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Loss on disposal of property and equipment, net of insurance recoveries, and 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w:t>
            </w:r>
          </w:p>
        </w:tc>
        <w:tc>
          <w:tcPr>
            <w:tcW w:w="4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4,518</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48 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651</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193 </w:t>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Change in fair value of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(568)</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Change in fair value of 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(26)</w:t>
            </w:r>
          </w:p>
        </w:tc>
        <w:tc>
          <w:tcPr>
            <w:tcW w:w="4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(5,704)</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(79)</w:t>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Severance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Executive transition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Other¹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140</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Adjusted EBITDA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(28)</w:t>
            </w:r>
          </w:p>
        </w:tc>
        <w:tc>
          <w:tcPr>
            <w:tcW w:w="4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11,562</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33 </w:t>
            </w:r>
          </w:p>
        </w:tc>
        <w:tc>
          <w:tcPr>
            <w:tcW w:w="5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447 </w:t>
            </w:r>
          </w:p>
        </w:tc>
        <w:tc>
          <w:tcPr>
            <w:tcW w:w="4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(7,862)</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130 </w:t>
            </w:r>
          </w:p>
        </w:tc>
        <w:tc>
          <w:tcPr>
            <w:tcW w:w="5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(12.8)</w:t>
            </w:r>
          </w:p>
        </w:tc>
        <w:tc>
          <w:tcPr>
            <w:tcW w:w="6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(2.0)</w:t>
            </w:r>
          </w:p>
        </w:tc>
        <w:tc>
          <w:tcPr>
            <w:tcW w:w="6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(1,080)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(9.4)</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(4.5)</w:t>
            </w:r>
          </w:p>
        </w:tc>
        <w:tc>
          <w:tcPr>
            <w:tcW w:w="6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(490) bps</w:t>
            </w:r>
          </w:p>
        </w:tc>
      </w:tr>
    </w:tbl>
    <w:p>
      <w:pPr>
        <w:pStyle w:val="TextBody"/>
        <w:bidi w:val="0"/>
        <w:spacing w:lineRule="auto" w:line="288" w:before="0" w:after="0"/>
        <w:jc w:val="both"/>
        <w:rPr>
          <w:rFonts w:ascii="Effra;sans-serif" w:hAnsi="Effra;sans-serif"/>
          <w:b w:val="false"/>
          <w:i/>
          <w:color w:val="000000"/>
          <w:sz w:val="16"/>
        </w:rPr>
      </w:pPr>
      <w:r>
        <w:rPr>
          <w:rFonts w:ascii="Effra;sans-serif" w:hAnsi="Effra;sans-serif"/>
          <w:b w:val="false"/>
          <w:i/>
          <w:color w:val="000000"/>
          <w:sz w:val="16"/>
        </w:rPr>
        <w:t>___________________________________________________________</w:t>
      </w:r>
    </w:p>
    <w:p>
      <w:pPr>
        <w:pStyle w:val="TextBody"/>
        <w:bidi w:val="0"/>
        <w:spacing w:lineRule="auto" w:line="288" w:before="0" w:after="0"/>
        <w:jc w:val="both"/>
        <w:rPr/>
      </w:pPr>
      <w:r>
        <w:rPr>
          <w:rFonts w:ascii="Effra;sans-serif" w:hAnsi="Effra;sans-serif"/>
          <w:b w:val="false"/>
          <w:i/>
          <w:color w:val="000000"/>
          <w:sz w:val="10"/>
        </w:rPr>
        <w:t>1</w:t>
      </w:r>
      <w:r>
        <w:rPr>
          <w:color w:val="000000"/>
        </w:rPr>
        <w:t xml:space="preserve"> </w:t>
      </w:r>
      <w:r>
        <w:rPr>
          <w:rFonts w:ascii="Effra;sans-serif" w:hAnsi="Effra;sans-serif"/>
          <w:b w:val="false"/>
          <w:i/>
          <w:color w:val="000000"/>
          <w:sz w:val="16"/>
        </w:rPr>
        <w:t>For the six months ended June 30, 2025, comprised primarily of nonrecurring professional fees related to the Secondary Offering, which closed on December 18, 2024.</w:t>
      </w:r>
    </w:p>
    <w:p>
      <w:pPr>
        <w:pStyle w:val="TextBody"/>
        <w:bidi w:val="0"/>
        <w:spacing w:lineRule="auto" w:line="288" w:before="0" w:after="0"/>
        <w:jc w:val="both"/>
        <w:rPr>
          <w:rFonts w:ascii="sans-serif" w:hAnsi="sans-serif"/>
          <w:b w:val="false"/>
          <w:i/>
          <w:color w:val="000000"/>
          <w:sz w:val="16"/>
        </w:rPr>
      </w:pPr>
      <w:r>
        <w:rPr>
          <w:rFonts w:ascii="sans-serif" w:hAnsi="sans-serif"/>
          <w:b w:val="false"/>
          <w:i/>
          <w:color w:val="000000"/>
          <w:sz w:val="16"/>
        </w:rPr>
        <w:t>* Percentage greater than 999% or not meaningful.</w:t>
      </w:r>
    </w:p>
    <w:p>
      <w:pPr>
        <w:pStyle w:val="TextBody"/>
        <w:bidi w:val="0"/>
        <w:spacing w:before="0" w:after="0"/>
        <w:ind w:left="0" w:right="0" w:firstLine="27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The following unaudited table presents a reconciliation of Charging Network Gross Profit and Charging Network Gross Margin to the most directly comparable GAAP measures:</w:t>
      </w:r>
    </w:p>
    <w:tbl>
      <w:tblPr>
        <w:tblW w:w="10205"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336"/>
        <w:gridCol w:w="219"/>
        <w:gridCol w:w="547"/>
        <w:gridCol w:w="133"/>
        <w:gridCol w:w="133"/>
        <w:gridCol w:w="133"/>
        <w:gridCol w:w="336"/>
        <w:gridCol w:w="219"/>
        <w:gridCol w:w="547"/>
        <w:gridCol w:w="109"/>
        <w:gridCol w:w="109"/>
        <w:gridCol w:w="109"/>
        <w:gridCol w:w="212"/>
        <w:gridCol w:w="212"/>
        <w:gridCol w:w="474"/>
        <w:gridCol w:w="109"/>
        <w:gridCol w:w="109"/>
        <w:gridCol w:w="109"/>
        <w:gridCol w:w="301"/>
        <w:gridCol w:w="254"/>
        <w:gridCol w:w="632"/>
        <w:gridCol w:w="128"/>
        <w:gridCol w:w="128"/>
        <w:gridCol w:w="128"/>
        <w:gridCol w:w="327"/>
        <w:gridCol w:w="219"/>
        <w:gridCol w:w="547"/>
        <w:gridCol w:w="109"/>
        <w:gridCol w:w="109"/>
        <w:gridCol w:w="109"/>
        <w:gridCol w:w="211"/>
        <w:gridCol w:w="211"/>
        <w:gridCol w:w="540"/>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(unaudited, 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2026</w:t>
            </w:r>
          </w:p>
        </w:tc>
        <w:tc>
          <w:tcPr>
            <w:tcW w:w="3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2026</w:t>
            </w:r>
          </w:p>
        </w:tc>
        <w:tc>
          <w:tcPr>
            <w:tcW w:w="38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Effra;sans-serif" w:hAnsi="Effra;sans-serif"/>
                <w:b w:val="false"/>
                <w:color w:val="000000"/>
                <w:sz w:val="20"/>
              </w:rPr>
            </w:pPr>
            <w:r>
              <w:rPr>
                <w:rFonts w:ascii="Effra;sans-serif" w:hAnsi="Effra;sans-serif"/>
                <w:b w:val="false"/>
                <w:color w:val="000000"/>
                <w:sz w:val="20"/>
              </w:rPr>
              <w:t>GAAP total charging network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61,421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51,828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117,138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98,926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18 </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Effra;sans-serif" w:hAnsi="Effra;sans-serif"/>
                <w:b w:val="false"/>
                <w:color w:val="000000"/>
                <w:sz w:val="20"/>
              </w:rPr>
            </w:pPr>
            <w:r>
              <w:rPr>
                <w:rFonts w:ascii="Effra;sans-serif" w:hAnsi="Effra;sans-serif"/>
                <w:b w:val="false"/>
                <w:color w:val="000000"/>
                <w:sz w:val="20"/>
              </w:rPr>
              <w:t>GAAP charging network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39,247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21 </w:t>
            </w:r>
          </w:p>
        </w:tc>
        <w:tc>
          <w:tcPr>
            <w:tcW w:w="4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74,846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62,154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20 </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Charging Network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22,174</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15 </w:t>
            </w:r>
          </w:p>
        </w:tc>
        <w:tc>
          <w:tcPr>
            <w:tcW w:w="4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42,292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36,772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15 </w:t>
            </w:r>
          </w:p>
        </w:tc>
        <w:tc>
          <w:tcPr>
            <w:tcW w:w="5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Charging Network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36.1</w:t>
            </w:r>
          </w:p>
        </w:tc>
        <w:tc>
          <w:tcPr>
            <w:tcW w:w="5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37.2</w:t>
            </w:r>
          </w:p>
        </w:tc>
        <w:tc>
          <w:tcPr>
            <w:tcW w:w="5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36.1</w:t>
            </w:r>
          </w:p>
        </w:tc>
        <w:tc>
          <w:tcPr>
            <w:tcW w:w="6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37.2</w:t>
            </w:r>
          </w:p>
        </w:tc>
        <w:tc>
          <w:tcPr>
            <w:tcW w:w="5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(110) bps</w:t>
            </w:r>
          </w:p>
        </w:tc>
      </w:tr>
    </w:tbl>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The following unaudited table presents a reconciliation of Adjusted Cost of Sales, Adjusted Cost of Sales as a Percentage of Revenue, Adjusted Gross Profit and Adjusted Gross Margin to the most directly comparable GAAP measures:</w:t>
      </w:r>
    </w:p>
    <w:tbl>
      <w:tblPr>
        <w:tblW w:w="10205" w:type="dxa"/>
        <w:jc w:val="left"/>
        <w:tblInd w:w="0" w:type="dxa"/>
        <w:tblLayout w:type="fixed"/>
        <w:tblCellMar>
          <w:top w:w="28" w:type="dxa"/>
          <w:left w:w="28" w:type="dxa"/>
          <w:bottom w:w="28" w:type="dxa"/>
          <w:right w:w="28" w:type="dxa"/>
        </w:tblCellMar>
      </w:tblPr>
      <w:tblGrid>
        <w:gridCol w:w="975"/>
        <w:gridCol w:w="536"/>
        <w:gridCol w:w="539"/>
        <w:gridCol w:w="325"/>
        <w:gridCol w:w="219"/>
        <w:gridCol w:w="547"/>
        <w:gridCol w:w="124"/>
        <w:gridCol w:w="124"/>
        <w:gridCol w:w="124"/>
        <w:gridCol w:w="375"/>
        <w:gridCol w:w="219"/>
        <w:gridCol w:w="547"/>
        <w:gridCol w:w="109"/>
        <w:gridCol w:w="109"/>
        <w:gridCol w:w="109"/>
        <w:gridCol w:w="219"/>
        <w:gridCol w:w="220"/>
        <w:gridCol w:w="457"/>
        <w:gridCol w:w="109"/>
        <w:gridCol w:w="109"/>
        <w:gridCol w:w="109"/>
        <w:gridCol w:w="290"/>
        <w:gridCol w:w="254"/>
        <w:gridCol w:w="632"/>
        <w:gridCol w:w="121"/>
        <w:gridCol w:w="121"/>
        <w:gridCol w:w="121"/>
        <w:gridCol w:w="290"/>
        <w:gridCol w:w="254"/>
        <w:gridCol w:w="632"/>
        <w:gridCol w:w="109"/>
        <w:gridCol w:w="109"/>
        <w:gridCol w:w="109"/>
        <w:gridCol w:w="218"/>
        <w:gridCol w:w="219"/>
        <w:gridCol w:w="522"/>
      </w:tblGrid>
      <w:tr>
        <w:trPr/>
        <w:tc>
          <w:tcPr>
            <w:tcW w:w="97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(unaudited, dollars in thousands)</w:t>
            </w:r>
          </w:p>
        </w:tc>
        <w:tc>
          <w:tcPr>
            <w:tcW w:w="10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2026</w:t>
            </w:r>
          </w:p>
        </w:tc>
        <w:tc>
          <w:tcPr>
            <w:tcW w:w="3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2026</w:t>
            </w:r>
          </w:p>
        </w:tc>
        <w:tc>
          <w:tcPr>
            <w:tcW w:w="3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GAAP revenue</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82,648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98,030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192,179</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173,317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11 </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GAAP cost of sales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75,306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84,122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w:t>
            </w:r>
          </w:p>
        </w:tc>
        <w:tc>
          <w:tcPr>
            <w:tcW w:w="4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171,879</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150,086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15 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GAAP gross profit</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7,342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(47)</w:t>
            </w:r>
          </w:p>
        </w:tc>
        <w:tc>
          <w:tcPr>
            <w:tcW w:w="4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20,300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23,231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(13)</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GAAP cost of sales as a percentage of revenue</w:t>
            </w:r>
          </w:p>
        </w:tc>
        <w:tc>
          <w:tcPr>
            <w:tcW w:w="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91.1</w:t>
            </w:r>
          </w:p>
        </w:tc>
        <w:tc>
          <w:tcPr>
            <w:tcW w:w="5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85.8</w:t>
            </w:r>
          </w:p>
        </w:tc>
        <w:tc>
          <w:tcPr>
            <w:tcW w:w="5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530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89.4</w:t>
            </w:r>
          </w:p>
        </w:tc>
        <w:tc>
          <w:tcPr>
            <w:tcW w:w="6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86.6</w:t>
            </w:r>
          </w:p>
        </w:tc>
        <w:tc>
          <w:tcPr>
            <w:tcW w:w="6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280 bps</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GAAP gross margin</w:t>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8.9</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14.2</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(530)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10.6</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13.4</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(280) bps</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Adjusted Cost of Sales adjustments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Depreciation, net of capital-build amortization</w:t>
            </w:r>
          </w:p>
        </w:tc>
        <w:tc>
          <w:tcPr>
            <w:tcW w:w="3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18,842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31 </w:t>
            </w:r>
          </w:p>
        </w:tc>
        <w:tc>
          <w:tcPr>
            <w:tcW w:w="4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35,418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17 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Share-based compensation</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w:t>
            </w:r>
          </w:p>
        </w:tc>
        <w:tc>
          <w:tcPr>
            <w:tcW w:w="4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Adjusted Cost of Sales adjustments</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18,941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31 </w:t>
            </w:r>
          </w:p>
        </w:tc>
        <w:tc>
          <w:tcPr>
            <w:tcW w:w="4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35,616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17 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Adjusted Cost of Sales</w:t>
            </w:r>
          </w:p>
        </w:tc>
        <w:tc>
          <w:tcPr>
            <w:tcW w:w="3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56,365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69,671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w:t>
            </w:r>
          </w:p>
        </w:tc>
        <w:tc>
          <w:tcPr>
            <w:tcW w:w="4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136,263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119,588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14 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Adjusted Cost of Sales as a Percentage of Revenue</w:t>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68.2</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Effra;sans-serif" w:hAnsi="Effra;sans-serif"/>
                <w:b/>
                <w:i/>
                <w:color w:val="000000"/>
                <w:sz w:val="16"/>
              </w:rPr>
              <w:t>71.1</w:t>
            </w: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(290)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70.9</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69.0</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190 bps</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Adjusted Gross Profit</w:t>
            </w:r>
          </w:p>
        </w:tc>
        <w:tc>
          <w:tcPr>
            <w:tcW w:w="3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26,283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28,359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w:t>
            </w:r>
          </w:p>
        </w:tc>
        <w:tc>
          <w:tcPr>
            <w:tcW w:w="4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55,916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53,729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4 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Adjusted Gross Margin</w:t>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31.8</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28.9</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290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29.1</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31.0</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(190) bps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The following unaudited table presents a reconciliation of Adjusted General and Administrative Expenses and Adjusted General and Administrative Expenses as a Percentage of Revenue to the most directly comparable GAAP measures:</w:t>
      </w:r>
    </w:p>
    <w:tbl>
      <w:tblPr>
        <w:tblW w:w="10205" w:type="dxa"/>
        <w:jc w:val="left"/>
        <w:tblInd w:w="0" w:type="dxa"/>
        <w:tblLayout w:type="fixed"/>
        <w:tblCellMar>
          <w:top w:w="28" w:type="dxa"/>
          <w:left w:w="28" w:type="dxa"/>
          <w:bottom w:w="28" w:type="dxa"/>
          <w:right w:w="28" w:type="dxa"/>
        </w:tblCellMar>
      </w:tblPr>
      <w:tblGrid>
        <w:gridCol w:w="964"/>
        <w:gridCol w:w="426"/>
        <w:gridCol w:w="428"/>
        <w:gridCol w:w="109"/>
        <w:gridCol w:w="109"/>
        <w:gridCol w:w="109"/>
        <w:gridCol w:w="310"/>
        <w:gridCol w:w="219"/>
        <w:gridCol w:w="547"/>
        <w:gridCol w:w="111"/>
        <w:gridCol w:w="111"/>
        <w:gridCol w:w="111"/>
        <w:gridCol w:w="310"/>
        <w:gridCol w:w="219"/>
        <w:gridCol w:w="547"/>
        <w:gridCol w:w="109"/>
        <w:gridCol w:w="109"/>
        <w:gridCol w:w="109"/>
        <w:gridCol w:w="212"/>
        <w:gridCol w:w="213"/>
        <w:gridCol w:w="453"/>
        <w:gridCol w:w="109"/>
        <w:gridCol w:w="109"/>
        <w:gridCol w:w="109"/>
        <w:gridCol w:w="275"/>
        <w:gridCol w:w="254"/>
        <w:gridCol w:w="632"/>
        <w:gridCol w:w="111"/>
        <w:gridCol w:w="111"/>
        <w:gridCol w:w="111"/>
        <w:gridCol w:w="275"/>
        <w:gridCol w:w="254"/>
        <w:gridCol w:w="632"/>
        <w:gridCol w:w="109"/>
        <w:gridCol w:w="109"/>
        <w:gridCol w:w="109"/>
        <w:gridCol w:w="270"/>
        <w:gridCol w:w="273"/>
        <w:gridCol w:w="518"/>
      </w:tblGrid>
      <w:tr>
        <w:trPr/>
        <w:tc>
          <w:tcPr>
            <w:tcW w:w="96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(unaudited, 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2026</w:t>
            </w:r>
          </w:p>
        </w:tc>
        <w:tc>
          <w:tcPr>
            <w:tcW w:w="3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2026</w:t>
            </w:r>
          </w:p>
        </w:tc>
        <w:tc>
          <w:tcPr>
            <w:tcW w:w="3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GAAP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82,648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98,030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192,179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173,317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11 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GAAP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44,358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40,596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9 </w:t>
            </w:r>
          </w:p>
        </w:tc>
        <w:tc>
          <w:tcPr>
            <w:tcW w:w="4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90,363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79,224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14 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GAAP general and administrative expenses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53.7</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41.4</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1,230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47.0</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45.7</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130 bps</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3,197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(54)</w:t>
            </w:r>
          </w:p>
        </w:tc>
        <w:tc>
          <w:tcPr>
            <w:tcW w:w="4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7,343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(40)</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Loss on disposal of property and equipment, net of insurance recoveries, and 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2,934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(12)</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6,695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48 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918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1,907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193 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Severance and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117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16"/>
              </w:rPr>
            </w:pPr>
            <w:r>
              <w:rPr>
                <w:rFonts w:ascii="Effra;sans-serif" w:hAnsi="Effra;sans-serif"/>
                <w:b w:val="false"/>
                <w:color w:val="000000"/>
                <w:sz w:val="16"/>
              </w:rPr>
              <w:t>*</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Executive transition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327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16"/>
              </w:rPr>
            </w:pPr>
            <w:r>
              <w:rPr>
                <w:rFonts w:ascii="Effra;sans-serif" w:hAnsi="Effra;sans-serif"/>
                <w:b w:val="false"/>
                <w:color w:val="000000"/>
                <w:sz w:val="16"/>
              </w:rPr>
              <w:t>*</w:t>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ffra;sans-serif" w:hAnsi="Effra;sans-serif"/>
                <w:b w:val="false"/>
                <w:color w:val="000000"/>
                <w:sz w:val="20"/>
              </w:rPr>
              <w:t>Other</w:t>
            </w:r>
            <w:r>
              <w:rPr>
                <w:rFonts w:ascii="Effra;sans-serif" w:hAnsi="Effra;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(107)</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7,493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(27)</w:t>
            </w:r>
          </w:p>
        </w:tc>
        <w:tc>
          <w:tcPr>
            <w:tcW w:w="4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16,379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17,633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(7)</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Adjusted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36,865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30,297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22 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73,984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w:t>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61,591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20 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i/>
                <w:color w:val="000000"/>
                <w:sz w:val="16"/>
              </w:rPr>
            </w:pPr>
            <w:r>
              <w:rPr>
                <w:rFonts w:ascii="Effra;sans-serif" w:hAnsi="Effra;sans-serif"/>
                <w:b/>
                <w:i/>
                <w:color w:val="000000"/>
                <w:sz w:val="16"/>
              </w:rPr>
              <w:t>Adjusted General and Administrative Expenses as a Percentage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44.6</w:t>
            </w:r>
          </w:p>
        </w:tc>
        <w:tc>
          <w:tcPr>
            <w:tcW w:w="5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30.9</w:t>
            </w:r>
          </w:p>
        </w:tc>
        <w:tc>
          <w:tcPr>
            <w:tcW w:w="5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1,370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38.5</w:t>
            </w:r>
          </w:p>
        </w:tc>
        <w:tc>
          <w:tcPr>
            <w:tcW w:w="6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i/>
                <w:color w:val="000000"/>
                <w:sz w:val="16"/>
              </w:rPr>
            </w:pPr>
            <w:r>
              <w:rPr>
                <w:rFonts w:ascii="Effra;sans-serif" w:hAnsi="Effra;sans-serif"/>
                <w:b/>
                <w:i/>
                <w:color w:val="000000"/>
                <w:sz w:val="16"/>
              </w:rPr>
              <w:t>35.5</w:t>
            </w:r>
          </w:p>
        </w:tc>
        <w:tc>
          <w:tcPr>
            <w:tcW w:w="6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i/>
                <w:color w:val="000000"/>
                <w:sz w:val="16"/>
              </w:rPr>
            </w:pPr>
            <w:r>
              <w:rPr>
                <w:rFonts w:ascii="Effra;sans-serif" w:hAnsi="Effra;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i/>
                <w:color w:val="000000"/>
                <w:sz w:val="16"/>
              </w:rPr>
            </w:pPr>
            <w:r>
              <w:rPr>
                <w:rFonts w:ascii="Effra;sans-serif" w:hAnsi="Effra;sans-serif"/>
                <w:b/>
                <w:i/>
                <w:color w:val="000000"/>
                <w:sz w:val="16"/>
              </w:rPr>
              <w:t>300 bps</w:t>
            </w:r>
          </w:p>
        </w:tc>
      </w:tr>
    </w:tbl>
    <w:p>
      <w:pPr>
        <w:pStyle w:val="TextBody"/>
        <w:bidi w:val="0"/>
        <w:spacing w:lineRule="auto" w:line="288" w:before="0" w:after="0"/>
        <w:jc w:val="left"/>
        <w:rPr>
          <w:rFonts w:ascii="Effra;sans-serif" w:hAnsi="Effra;sans-serif"/>
          <w:b w:val="false"/>
          <w:i/>
          <w:color w:val="000000"/>
          <w:sz w:val="16"/>
        </w:rPr>
      </w:pPr>
      <w:r>
        <w:rPr>
          <w:rFonts w:ascii="Effra;sans-serif" w:hAnsi="Effra;sans-serif"/>
          <w:b w:val="false"/>
          <w:i/>
          <w:color w:val="000000"/>
          <w:sz w:val="16"/>
        </w:rPr>
        <w:t>___________________________________________________________</w:t>
      </w:r>
    </w:p>
    <w:p>
      <w:pPr>
        <w:pStyle w:val="TextBody"/>
        <w:bidi w:val="0"/>
        <w:spacing w:lineRule="auto" w:line="288" w:before="0" w:after="0"/>
        <w:jc w:val="both"/>
        <w:rPr/>
      </w:pPr>
      <w:r>
        <w:rPr>
          <w:rFonts w:ascii="Effra;sans-serif" w:hAnsi="Effra;sans-serif"/>
          <w:b w:val="false"/>
          <w:i/>
          <w:color w:val="000000"/>
          <w:sz w:val="10"/>
        </w:rPr>
        <w:t>1</w:t>
      </w:r>
      <w:r>
        <w:rPr>
          <w:rFonts w:ascii="Effra;sans-serif" w:hAnsi="Effra;sans-serif"/>
          <w:b w:val="false"/>
          <w:i/>
          <w:color w:val="000000"/>
          <w:sz w:val="16"/>
        </w:rPr>
        <w:t>For the six months ended June 30, 2025, comprised primarily of nonrecurring professional fees related to the Secondary Offering, which closed on December 18, 2024.</w:t>
      </w:r>
    </w:p>
    <w:p>
      <w:pPr>
        <w:pStyle w:val="TextBody"/>
        <w:bidi w:val="0"/>
        <w:spacing w:lineRule="auto" w:line="288" w:before="0" w:after="0"/>
        <w:jc w:val="both"/>
        <w:rPr>
          <w:rFonts w:ascii="sans-serif" w:hAnsi="sans-serif"/>
          <w:b w:val="false"/>
          <w:i/>
          <w:color w:val="000000"/>
          <w:sz w:val="16"/>
        </w:rPr>
      </w:pPr>
      <w:r>
        <w:rPr>
          <w:rFonts w:ascii="sans-serif" w:hAnsi="sans-serif"/>
          <w:b w:val="false"/>
          <w:i/>
          <w:color w:val="000000"/>
          <w:sz w:val="16"/>
        </w:rPr>
        <w:t>* Percentage greater than 999% or not meaningful.</w:t>
      </w:r>
    </w:p>
    <w:p>
      <w:pPr>
        <w:pStyle w:val="TextBody"/>
        <w:bidi w:val="0"/>
        <w:spacing w:before="0" w:after="0"/>
        <w:jc w:val="both"/>
        <w:rPr/>
      </w:pPr>
      <w:r>
        <w:rPr/>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The following unaudited table presents a reconciliation of Capital Expenditures, Net of Capital Offsets, to the most directly comparable GAAP measure:</w:t>
      </w:r>
    </w:p>
    <w:tbl>
      <w:tblPr>
        <w:tblW w:w="10205" w:type="dxa"/>
        <w:jc w:val="left"/>
        <w:tblInd w:w="0" w:type="dxa"/>
        <w:tblLayout w:type="fixed"/>
        <w:tblCellMar>
          <w:top w:w="28" w:type="dxa"/>
          <w:left w:w="28" w:type="dxa"/>
          <w:bottom w:w="28" w:type="dxa"/>
          <w:right w:w="28" w:type="dxa"/>
        </w:tblCellMar>
      </w:tblPr>
      <w:tblGrid>
        <w:gridCol w:w="984"/>
        <w:gridCol w:w="663"/>
        <w:gridCol w:w="617"/>
        <w:gridCol w:w="231"/>
        <w:gridCol w:w="844"/>
        <w:gridCol w:w="111"/>
        <w:gridCol w:w="111"/>
        <w:gridCol w:w="111"/>
        <w:gridCol w:w="111"/>
        <w:gridCol w:w="231"/>
        <w:gridCol w:w="844"/>
        <w:gridCol w:w="111"/>
        <w:gridCol w:w="109"/>
        <w:gridCol w:w="109"/>
        <w:gridCol w:w="109"/>
        <w:gridCol w:w="220"/>
        <w:gridCol w:w="221"/>
        <w:gridCol w:w="452"/>
        <w:gridCol w:w="109"/>
        <w:gridCol w:w="109"/>
        <w:gridCol w:w="109"/>
        <w:gridCol w:w="226"/>
        <w:gridCol w:w="826"/>
        <w:gridCol w:w="109"/>
        <w:gridCol w:w="109"/>
        <w:gridCol w:w="109"/>
        <w:gridCol w:w="109"/>
        <w:gridCol w:w="226"/>
        <w:gridCol w:w="826"/>
        <w:gridCol w:w="109"/>
        <w:gridCol w:w="262"/>
        <w:gridCol w:w="264"/>
        <w:gridCol w:w="514"/>
      </w:tblGrid>
      <w:tr>
        <w:trPr/>
        <w:tc>
          <w:tcPr>
            <w:tcW w:w="98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Six Months Ended June 30,</w:t>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i/>
                <w:color w:val="000000"/>
                <w:sz w:val="16"/>
              </w:rPr>
            </w:pPr>
            <w:r>
              <w:rPr>
                <w:rFonts w:ascii="Effra;sans-serif" w:hAnsi="Effra;sans-serif"/>
                <w:b w:val="false"/>
                <w:i/>
                <w:color w:val="000000"/>
                <w:sz w:val="16"/>
              </w:rPr>
              <w:t>(dollars in thousands)</w:t>
            </w:r>
          </w:p>
        </w:tc>
        <w:tc>
          <w:tcPr>
            <w:tcW w:w="11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2026</w:t>
            </w:r>
          </w:p>
        </w:tc>
        <w:tc>
          <w:tcPr>
            <w:tcW w:w="3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Effra;sans-serif" w:hAnsi="Effra;sans-serif"/>
                <w:b/>
                <w:color w:val="000000"/>
                <w:sz w:val="16"/>
              </w:rPr>
            </w:pPr>
            <w:r>
              <w:rPr>
                <w:rFonts w:ascii="Effra;sans-serif" w:hAnsi="Effra;sans-serif"/>
                <w:b/>
                <w:color w:val="000000"/>
                <w:sz w:val="16"/>
              </w:rPr>
              <w:t>2025</w:t>
            </w:r>
          </w:p>
        </w:tc>
        <w:tc>
          <w:tcPr>
            <w:tcW w:w="1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Effra;sans-serif" w:hAnsi="Effra;sans-serif"/>
                <w:b/>
                <w:color w:val="000000"/>
                <w:sz w:val="16"/>
              </w:rPr>
            </w:pPr>
            <w:r>
              <w:rPr>
                <w:rFonts w:ascii="Effra;sans-serif" w:hAnsi="Effra;sans-serif"/>
                <w:b/>
                <w:color w:val="000000"/>
                <w:sz w:val="16"/>
              </w:rPr>
              <w:t>Change</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GAAP capital expenditures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33,823 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26,199 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29 </w:t>
            </w:r>
          </w:p>
        </w:tc>
        <w:tc>
          <w:tcPr>
            <w:tcW w:w="45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64,398 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41,191 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56 </w:t>
            </w:r>
          </w:p>
        </w:tc>
        <w:tc>
          <w:tcPr>
            <w:tcW w:w="5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Capital offsets: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OEM infrastructure payments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1,352 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1,898 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(29)</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(48)</w:t>
            </w:r>
          </w:p>
        </w:tc>
        <w:tc>
          <w:tcPr>
            <w:tcW w:w="5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Proceeds from capital-build funding</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5,170 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7,180 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(28)</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9,051 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(8)</w:t>
            </w:r>
          </w:p>
        </w:tc>
        <w:tc>
          <w:tcPr>
            <w:tcW w:w="5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Total capital offsets</w:t>
            </w:r>
          </w:p>
        </w:tc>
        <w:tc>
          <w:tcPr>
            <w:tcW w:w="107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6,522 </w:t>
            </w:r>
          </w:p>
        </w:tc>
        <w:tc>
          <w:tcPr>
            <w:tcW w:w="1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9,078 </w:t>
            </w:r>
          </w:p>
        </w:tc>
        <w:tc>
          <w:tcPr>
            <w:tcW w:w="1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(28)</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11,933 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15,924 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(25)</w:t>
            </w:r>
          </w:p>
        </w:tc>
        <w:tc>
          <w:tcPr>
            <w:tcW w:w="5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Effra;sans-serif" w:hAnsi="Effra;sans-serif"/>
                <w:b w:val="false"/>
                <w:color w:val="000000"/>
                <w:sz w:val="20"/>
              </w:rPr>
            </w:pPr>
            <w:r>
              <w:rPr>
                <w:rFonts w:ascii="Effra;sans-serif" w:hAnsi="Effra;sans-serif"/>
                <w:b w:val="false"/>
                <w:color w:val="000000"/>
                <w:sz w:val="20"/>
              </w:rPr>
              <w:t>Capital Expenditures, Net of Capital Offsets</w:t>
            </w:r>
          </w:p>
        </w:tc>
        <w:tc>
          <w:tcPr>
            <w:tcW w:w="2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27,301 </w:t>
            </w:r>
          </w:p>
        </w:tc>
        <w:tc>
          <w:tcPr>
            <w:tcW w:w="1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w:t>
            </w:r>
          </w:p>
        </w:tc>
        <w:tc>
          <w:tcPr>
            <w:tcW w:w="84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17,121 </w:t>
            </w:r>
          </w:p>
        </w:tc>
        <w:tc>
          <w:tcPr>
            <w:tcW w:w="1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59 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52,465 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Effra;sans-serif" w:hAnsi="Effra;sans-serif"/>
                <w:b w:val="false"/>
                <w:color w:val="000000"/>
                <w:sz w:val="20"/>
              </w:rPr>
            </w:pPr>
            <w:r>
              <w:rPr>
                <w:rFonts w:ascii="Effra;sans-serif" w:hAnsi="Effra;sans-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Effra;sans-serif" w:hAnsi="Effra;sans-serif"/>
                <w:b w:val="false"/>
                <w:color w:val="000000"/>
                <w:sz w:val="20"/>
              </w:rPr>
            </w:pPr>
            <w:r>
              <w:rPr>
                <w:rFonts w:ascii="Effra;sans-serif" w:hAnsi="Effra;sans-serif"/>
                <w:b w:val="false"/>
                <w:color w:val="000000"/>
                <w:sz w:val="20"/>
              </w:rPr>
              <w:t>25,267 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108 </w:t>
            </w:r>
          </w:p>
        </w:tc>
        <w:tc>
          <w:tcPr>
            <w:tcW w:w="5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Effra;sans-serif" w:hAnsi="Effra;sans-serif"/>
                <w:b w:val="false"/>
                <w:color w:val="000000"/>
                <w:sz w:val="20"/>
              </w:rPr>
            </w:pPr>
            <w:r>
              <w:rPr>
                <w:rFonts w:ascii="Effra;sans-serif" w:hAnsi="Effra;sans-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Effra;sans-serif" w:hAnsi="Effra;sans-serif"/>
          <w:b/>
          <w:color w:val="000000"/>
          <w:sz w:val="20"/>
          <w:u w:val="single"/>
        </w:rPr>
      </w:pPr>
      <w:r>
        <w:rPr>
          <w:rFonts w:ascii="Effra;sans-serif" w:hAnsi="Effra;sans-serif"/>
          <w:b/>
          <w:color w:val="000000"/>
          <w:sz w:val="20"/>
          <w:u w:val="single"/>
        </w:rPr>
        <w:t>For investors:</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investors@evgo.com</w:t>
      </w:r>
    </w:p>
    <w:p>
      <w:pPr>
        <w:pStyle w:val="TextBody"/>
        <w:bidi w:val="0"/>
        <w:spacing w:lineRule="auto" w:line="288" w:before="0" w:after="0"/>
        <w:jc w:val="left"/>
        <w:rPr>
          <w:rFonts w:ascii="Effra;sans-serif" w:hAnsi="Effra;sans-serif"/>
          <w:b/>
          <w:color w:val="000000"/>
          <w:sz w:val="20"/>
          <w:u w:val="single"/>
        </w:rPr>
      </w:pPr>
      <w:r>
        <w:rPr>
          <w:rFonts w:ascii="Effra;sans-serif" w:hAnsi="Effra;sans-serif"/>
          <w:b/>
          <w:color w:val="000000"/>
          <w:sz w:val="20"/>
          <w:u w:val="single"/>
        </w:rPr>
        <w:t>For media:</w:t>
      </w:r>
    </w:p>
    <w:p>
      <w:pPr>
        <w:pStyle w:val="TextBody"/>
        <w:bidi w:val="0"/>
        <w:spacing w:lineRule="auto" w:line="288" w:before="0" w:after="240"/>
        <w:jc w:val="both"/>
        <w:rPr>
          <w:rFonts w:ascii="Effra;sans-serif" w:hAnsi="Effra;sans-serif"/>
          <w:b w:val="false"/>
          <w:color w:val="000000"/>
          <w:sz w:val="20"/>
        </w:rPr>
      </w:pPr>
      <w:r>
        <w:rPr>
          <w:rFonts w:ascii="Effra;sans-serif" w:hAnsi="Effra;sans-serif"/>
          <w:b w:val="false"/>
          <w:color w:val="000000"/>
          <w:sz w:val="20"/>
        </w:rPr>
        <w:t>press@evgo.com</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Effra">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5597</Words>
  <Characters>31231</Characters>
  <CharactersWithSpaces>35711</CharactersWithSpaces>
  <Paragraphs>1437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